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C4BC" w14:textId="77777777" w:rsidR="00CC333D" w:rsidRDefault="00000000">
      <w:pPr>
        <w:pStyle w:val="Bezproreda"/>
        <w:rPr>
          <w:rFonts w:ascii="Times New Roman" w:hAnsi="Times New Roman" w:cs="Times New Roman"/>
          <w:b/>
          <w:bCs/>
          <w:sz w:val="24"/>
          <w:szCs w:val="24"/>
        </w:rPr>
      </w:pPr>
      <w:r>
        <w:rPr>
          <w:rFonts w:ascii="Times New Roman" w:hAnsi="Times New Roman" w:cs="Times New Roman"/>
          <w:b/>
          <w:bCs/>
          <w:sz w:val="24"/>
          <w:szCs w:val="24"/>
        </w:rPr>
        <w:t>DOM ZDRAVLJA ZADARSKE ŽUPANIJE</w:t>
      </w:r>
    </w:p>
    <w:p w14:paraId="10B23079" w14:textId="77777777" w:rsidR="00CC333D" w:rsidRDefault="00000000">
      <w:pPr>
        <w:pStyle w:val="Bezproreda"/>
        <w:rPr>
          <w:rFonts w:ascii="Times New Roman" w:hAnsi="Times New Roman" w:cs="Times New Roman"/>
          <w:b/>
          <w:bCs/>
          <w:sz w:val="24"/>
          <w:szCs w:val="24"/>
        </w:rPr>
      </w:pPr>
      <w:r>
        <w:rPr>
          <w:rFonts w:ascii="Times New Roman" w:hAnsi="Times New Roman" w:cs="Times New Roman"/>
          <w:b/>
          <w:bCs/>
          <w:sz w:val="24"/>
          <w:szCs w:val="24"/>
        </w:rPr>
        <w:t>ULICA IVANA MAŽURANIĆA 28B,  ZADAR</w:t>
      </w:r>
    </w:p>
    <w:p w14:paraId="1EFA5312" w14:textId="77777777" w:rsidR="00CC333D" w:rsidRDefault="00CC333D">
      <w:pPr>
        <w:pStyle w:val="Bezproreda"/>
        <w:rPr>
          <w:rFonts w:ascii="Times New Roman" w:hAnsi="Times New Roman" w:cs="Times New Roman"/>
          <w:sz w:val="24"/>
          <w:szCs w:val="24"/>
        </w:rPr>
      </w:pPr>
    </w:p>
    <w:p w14:paraId="0451AD76" w14:textId="77777777" w:rsidR="00CC333D" w:rsidRDefault="00000000">
      <w:pPr>
        <w:pStyle w:val="Bezproreda"/>
        <w:rPr>
          <w:rFonts w:ascii="Times New Roman" w:hAnsi="Times New Roman" w:cs="Times New Roman"/>
          <w:b/>
          <w:bCs/>
          <w:sz w:val="24"/>
          <w:szCs w:val="24"/>
        </w:rPr>
      </w:pPr>
      <w:r>
        <w:rPr>
          <w:rFonts w:ascii="Times New Roman" w:hAnsi="Times New Roman" w:cs="Times New Roman"/>
          <w:b/>
          <w:bCs/>
          <w:sz w:val="24"/>
          <w:szCs w:val="24"/>
        </w:rPr>
        <w:t>RKP: 33976</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Razina: 31</w:t>
      </w:r>
      <w:r>
        <w:rPr>
          <w:rFonts w:ascii="Times New Roman" w:hAnsi="Times New Roman" w:cs="Times New Roman"/>
          <w:b/>
          <w:bCs/>
          <w:sz w:val="24"/>
          <w:szCs w:val="24"/>
        </w:rPr>
        <w:tab/>
      </w:r>
    </w:p>
    <w:p w14:paraId="4C784C20" w14:textId="77777777" w:rsidR="00CC333D" w:rsidRDefault="00000000">
      <w:pPr>
        <w:pStyle w:val="Bezproreda"/>
        <w:rPr>
          <w:rFonts w:ascii="Times New Roman" w:hAnsi="Times New Roman" w:cs="Times New Roman"/>
          <w:b/>
          <w:bCs/>
          <w:sz w:val="24"/>
          <w:szCs w:val="24"/>
        </w:rPr>
      </w:pPr>
      <w:r>
        <w:rPr>
          <w:rFonts w:ascii="Times New Roman" w:hAnsi="Times New Roman" w:cs="Times New Roman"/>
          <w:b/>
          <w:bCs/>
          <w:sz w:val="24"/>
          <w:szCs w:val="24"/>
        </w:rPr>
        <w:t>MB:   00713007</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Razdjel: 000</w:t>
      </w:r>
    </w:p>
    <w:p w14:paraId="3E0D53AC" w14:textId="77777777" w:rsidR="00CC333D" w:rsidRDefault="00000000">
      <w:pPr>
        <w:pStyle w:val="Bezproreda"/>
        <w:rPr>
          <w:rFonts w:ascii="Times New Roman" w:hAnsi="Times New Roman" w:cs="Times New Roman"/>
          <w:b/>
          <w:bCs/>
          <w:sz w:val="24"/>
          <w:szCs w:val="24"/>
        </w:rPr>
      </w:pPr>
      <w:r>
        <w:rPr>
          <w:rFonts w:ascii="Times New Roman" w:hAnsi="Times New Roman" w:cs="Times New Roman"/>
          <w:b/>
          <w:bCs/>
          <w:sz w:val="24"/>
          <w:szCs w:val="24"/>
        </w:rPr>
        <w:t xml:space="preserve">OIB:  82455745471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Šifra djelatnosti: 8690</w:t>
      </w:r>
    </w:p>
    <w:p w14:paraId="204FC47A" w14:textId="77777777" w:rsidR="00CC333D" w:rsidRDefault="00CC333D">
      <w:pPr>
        <w:pStyle w:val="Bezproreda"/>
        <w:rPr>
          <w:rFonts w:ascii="Times New Roman" w:hAnsi="Times New Roman" w:cs="Times New Roman"/>
          <w:b/>
          <w:bCs/>
          <w:sz w:val="24"/>
          <w:szCs w:val="24"/>
        </w:rPr>
      </w:pPr>
    </w:p>
    <w:p w14:paraId="2F3151BD" w14:textId="77777777" w:rsidR="00CC333D" w:rsidRDefault="00000000">
      <w:pPr>
        <w:pStyle w:val="Bezproreda"/>
        <w:rPr>
          <w:rFonts w:ascii="Times New Roman" w:hAnsi="Times New Roman" w:cs="Times New Roman"/>
          <w:sz w:val="24"/>
          <w:szCs w:val="24"/>
        </w:rPr>
      </w:pPr>
      <w:r>
        <w:rPr>
          <w:rFonts w:ascii="Times New Roman" w:hAnsi="Times New Roman" w:cs="Times New Roman"/>
          <w:sz w:val="24"/>
          <w:szCs w:val="24"/>
        </w:rPr>
        <w:t>URBROJ: 01 –        /2025</w:t>
      </w:r>
    </w:p>
    <w:p w14:paraId="12199C33" w14:textId="7A394F2A" w:rsidR="00CC333D"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Zadar, </w:t>
      </w:r>
      <w:r w:rsidR="00C25384">
        <w:rPr>
          <w:rFonts w:ascii="Times New Roman" w:hAnsi="Times New Roman" w:cs="Times New Roman"/>
          <w:color w:val="000000" w:themeColor="text1"/>
          <w:sz w:val="24"/>
          <w:szCs w:val="24"/>
          <w:u w:val="single"/>
        </w:rPr>
        <w:t>30</w:t>
      </w:r>
      <w:r>
        <w:rPr>
          <w:rFonts w:ascii="Times New Roman" w:hAnsi="Times New Roman" w:cs="Times New Roman"/>
          <w:color w:val="000000" w:themeColor="text1"/>
          <w:sz w:val="24"/>
          <w:szCs w:val="24"/>
          <w:u w:val="single"/>
        </w:rPr>
        <w:t>. siječnja 2025. godine</w:t>
      </w:r>
    </w:p>
    <w:p w14:paraId="7B8A1083" w14:textId="77777777" w:rsidR="00CC333D" w:rsidRDefault="00CC333D">
      <w:pPr>
        <w:pStyle w:val="Bezproreda"/>
        <w:jc w:val="center"/>
        <w:rPr>
          <w:rFonts w:ascii="Times New Roman" w:hAnsi="Times New Roman" w:cs="Times New Roman"/>
          <w:b/>
          <w:sz w:val="24"/>
          <w:szCs w:val="24"/>
        </w:rPr>
      </w:pPr>
    </w:p>
    <w:p w14:paraId="7AA8766F" w14:textId="77777777" w:rsidR="00CC333D" w:rsidRDefault="00CC333D">
      <w:pPr>
        <w:pStyle w:val="Bezproreda"/>
        <w:jc w:val="center"/>
        <w:rPr>
          <w:rFonts w:ascii="Times New Roman" w:hAnsi="Times New Roman" w:cs="Times New Roman"/>
          <w:b/>
          <w:sz w:val="24"/>
          <w:szCs w:val="24"/>
        </w:rPr>
      </w:pPr>
    </w:p>
    <w:p w14:paraId="2BD4827A" w14:textId="77777777" w:rsidR="00CC333D" w:rsidRDefault="00CC333D">
      <w:pPr>
        <w:pStyle w:val="Bezproreda"/>
        <w:jc w:val="center"/>
        <w:rPr>
          <w:rFonts w:ascii="Times New Roman" w:hAnsi="Times New Roman" w:cs="Times New Roman"/>
          <w:b/>
          <w:sz w:val="24"/>
          <w:szCs w:val="24"/>
        </w:rPr>
      </w:pPr>
    </w:p>
    <w:p w14:paraId="129E496E" w14:textId="77777777" w:rsidR="00CC333D" w:rsidRDefault="00000000">
      <w:pPr>
        <w:pStyle w:val="Bezproreda"/>
        <w:jc w:val="center"/>
        <w:rPr>
          <w:rFonts w:ascii="Times New Roman" w:hAnsi="Times New Roman" w:cs="Times New Roman"/>
          <w:b/>
          <w:sz w:val="24"/>
          <w:szCs w:val="24"/>
        </w:rPr>
      </w:pPr>
      <w:r>
        <w:rPr>
          <w:rFonts w:ascii="Times New Roman" w:hAnsi="Times New Roman" w:cs="Times New Roman"/>
          <w:b/>
          <w:sz w:val="24"/>
          <w:szCs w:val="24"/>
        </w:rPr>
        <w:t>BILJEŠKE UZ FINANCIJSKI IZVJEŠTAJ</w:t>
      </w:r>
    </w:p>
    <w:p w14:paraId="5D73C2E5" w14:textId="77777777" w:rsidR="00CC333D" w:rsidRDefault="00000000">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IZVJEŠTAJI PRORAČUNA, PRORAČUNSKIH I IZVANPRORAČUNSKIH </w:t>
      </w:r>
    </w:p>
    <w:p w14:paraId="3D08C566" w14:textId="77777777" w:rsidR="00CC333D" w:rsidRDefault="00000000">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KORISNIKA </w:t>
      </w:r>
    </w:p>
    <w:p w14:paraId="1489BDB6" w14:textId="77777777" w:rsidR="00CC333D" w:rsidRDefault="00CC333D">
      <w:pPr>
        <w:pStyle w:val="Bezproreda"/>
        <w:jc w:val="center"/>
        <w:rPr>
          <w:rFonts w:ascii="Times New Roman" w:hAnsi="Times New Roman" w:cs="Times New Roman"/>
          <w:b/>
          <w:sz w:val="24"/>
          <w:szCs w:val="24"/>
        </w:rPr>
      </w:pPr>
    </w:p>
    <w:p w14:paraId="033FB8ED" w14:textId="77777777" w:rsidR="00CC333D" w:rsidRDefault="00000000">
      <w:pPr>
        <w:pStyle w:val="Bezproreda"/>
        <w:jc w:val="center"/>
        <w:rPr>
          <w:rFonts w:ascii="Times New Roman" w:hAnsi="Times New Roman" w:cs="Times New Roman"/>
          <w:b/>
          <w:sz w:val="24"/>
          <w:szCs w:val="24"/>
        </w:rPr>
      </w:pPr>
      <w:r>
        <w:rPr>
          <w:rFonts w:ascii="Times New Roman" w:hAnsi="Times New Roman" w:cs="Times New Roman"/>
          <w:b/>
          <w:sz w:val="24"/>
          <w:szCs w:val="24"/>
        </w:rPr>
        <w:t>za razdoblje od 01. siječnja 2024. do 31. prosinca 2024.godine</w:t>
      </w:r>
    </w:p>
    <w:p w14:paraId="3EA60C5A" w14:textId="77777777" w:rsidR="00CC333D" w:rsidRDefault="00CC333D">
      <w:pPr>
        <w:pStyle w:val="Bezproreda"/>
        <w:jc w:val="center"/>
        <w:rPr>
          <w:rFonts w:ascii="Times New Roman" w:hAnsi="Times New Roman" w:cs="Times New Roman"/>
          <w:b/>
          <w:sz w:val="24"/>
          <w:szCs w:val="24"/>
        </w:rPr>
      </w:pPr>
    </w:p>
    <w:p w14:paraId="0334B1A4" w14:textId="77777777" w:rsidR="00CC333D"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U skladu s odredbama Pravilnika o financijskom izvještavanju u proračunskom računovodstvu („Narodne novine” broj 3/15, 93/15, 135/15, 2/17, 28/17, 112/18, 126/19, 108/20, NN 37/2022), te Zakona o proračunu  (NN 87/08, 136/12, 15/15 i 144/21), te odredbi o sastavljanju , konsolidaciji i predaji financijskih izvještaja proračuna, proračunskih / izvanproračunskih korisnika državnog proračuna te proračunskih / izvanproračunskih korisnika proračuna jedinica lokalne i područne ( regionalne ) samouprave sastavljena su financijska izvješća Doma zdravlja Zadarske županije za razdoblje od 01.siječnja do 31.prosinca 2024. godine:</w:t>
      </w:r>
    </w:p>
    <w:p w14:paraId="178F9C00" w14:textId="77777777" w:rsidR="00CC333D" w:rsidRDefault="00CC333D">
      <w:pPr>
        <w:pStyle w:val="Bezproreda"/>
        <w:jc w:val="both"/>
        <w:rPr>
          <w:rFonts w:ascii="Times New Roman" w:hAnsi="Times New Roman" w:cs="Times New Roman"/>
          <w:sz w:val="24"/>
          <w:szCs w:val="24"/>
        </w:rPr>
      </w:pPr>
    </w:p>
    <w:p w14:paraId="7B60610C" w14:textId="77777777" w:rsidR="00CC333D" w:rsidRDefault="00CC333D">
      <w:pPr>
        <w:pStyle w:val="Bezproreda"/>
        <w:jc w:val="both"/>
        <w:rPr>
          <w:rFonts w:ascii="Times New Roman" w:hAnsi="Times New Roman" w:cs="Times New Roman"/>
          <w:sz w:val="24"/>
          <w:szCs w:val="24"/>
        </w:rPr>
      </w:pPr>
    </w:p>
    <w:p w14:paraId="3B781148" w14:textId="77777777" w:rsidR="00CC333D" w:rsidRDefault="00CC333D">
      <w:pPr>
        <w:pStyle w:val="Bezproreda"/>
        <w:jc w:val="both"/>
        <w:rPr>
          <w:rFonts w:ascii="Times New Roman" w:hAnsi="Times New Roman" w:cs="Times New Roman"/>
          <w:color w:val="000000" w:themeColor="text1"/>
          <w:sz w:val="24"/>
          <w:szCs w:val="24"/>
        </w:rPr>
      </w:pPr>
    </w:p>
    <w:p w14:paraId="083BBDD1"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Izvještaj o prihodima i rashodima, primicima i izdacima – Obrazac PR – RAS,</w:t>
      </w:r>
    </w:p>
    <w:p w14:paraId="76EDB96A"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Bilancu – obrazac BIL,</w:t>
      </w:r>
    </w:p>
    <w:p w14:paraId="18EF0415"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Izvještaj o obvezama – Obrazac OBVEZE,</w:t>
      </w:r>
    </w:p>
    <w:p w14:paraId="247C54C0"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Izvještaj o rashodima prema funkcijskoj klasifikaciji – Obrazac RAS funkcijski,</w:t>
      </w:r>
    </w:p>
    <w:p w14:paraId="50CC094A"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Izvještaj o promjenama u vrijednosti i obujmu imovine i obveza – Obrazac P- VRIO,</w:t>
      </w:r>
    </w:p>
    <w:p w14:paraId="3E8D36EC"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Bilješke</w:t>
      </w:r>
    </w:p>
    <w:p w14:paraId="4A80C9CF" w14:textId="77777777" w:rsidR="00CC333D" w:rsidRDefault="00CC333D">
      <w:pPr>
        <w:pStyle w:val="Bezproreda"/>
        <w:rPr>
          <w:rFonts w:ascii="Times New Roman" w:hAnsi="Times New Roman" w:cs="Times New Roman"/>
          <w:b/>
          <w:sz w:val="24"/>
          <w:szCs w:val="24"/>
        </w:rPr>
      </w:pPr>
    </w:p>
    <w:p w14:paraId="49CAEE61" w14:textId="77777777" w:rsidR="00CC333D"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Bilješke su dopune podataka uz financijske izvještaje </w:t>
      </w:r>
      <w:r>
        <w:rPr>
          <w:rFonts w:ascii="Times New Roman" w:hAnsi="Times New Roman" w:cs="Times New Roman"/>
          <w:color w:val="000000" w:themeColor="text1"/>
          <w:sz w:val="24"/>
          <w:szCs w:val="24"/>
        </w:rPr>
        <w:t>kako bi se isti pravilno razumjeli i protumačili. Označavaju se rednim brojevima s vezom na pojedinu poziciju iz financijskog izvještaja na koju se odnose.</w:t>
      </w:r>
    </w:p>
    <w:p w14:paraId="0927D376" w14:textId="77777777" w:rsidR="00CC333D" w:rsidRDefault="00CC333D">
      <w:pPr>
        <w:pStyle w:val="Bezproreda"/>
        <w:jc w:val="both"/>
        <w:rPr>
          <w:rFonts w:ascii="Times New Roman" w:hAnsi="Times New Roman" w:cs="Times New Roman"/>
          <w:color w:val="000000" w:themeColor="text1"/>
          <w:sz w:val="24"/>
          <w:szCs w:val="24"/>
        </w:rPr>
      </w:pPr>
    </w:p>
    <w:p w14:paraId="57E80FA3" w14:textId="77777777" w:rsidR="00CC333D" w:rsidRDefault="00000000">
      <w:pPr>
        <w:pStyle w:val="Bezprored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Dom zdravlja Zadarske županije je zdravstvena ustanova registrirana za obavljanje slijedećih djelatnosti:</w:t>
      </w:r>
    </w:p>
    <w:p w14:paraId="7CACBBC6"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obiteljska (opća) medicina,</w:t>
      </w:r>
    </w:p>
    <w:p w14:paraId="09AC99C9"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dentalna zdravstvena zaštita,</w:t>
      </w:r>
    </w:p>
    <w:p w14:paraId="3D947B6D"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zdravstvena zaštita žena,</w:t>
      </w:r>
    </w:p>
    <w:p w14:paraId="044FE269"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zdravstvena zaštita predškolske djece,</w:t>
      </w:r>
    </w:p>
    <w:p w14:paraId="07AD9982"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medicina rada,</w:t>
      </w:r>
    </w:p>
    <w:p w14:paraId="29E6CF05"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laboratorijska dijagnostika,</w:t>
      </w:r>
    </w:p>
    <w:p w14:paraId="16A0AE89"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radiološka dijagnostika,</w:t>
      </w:r>
    </w:p>
    <w:p w14:paraId="2D548EB2"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hr-HR"/>
        </w:rPr>
        <w:lastRenderedPageBreak/>
        <w:t>specijalističko-konzilijarna zdravstvena zaštita (ortodoncija i oralna kirurgija)</w:t>
      </w:r>
    </w:p>
    <w:p w14:paraId="1FF2FCBC"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sanitetski prijevoz,</w:t>
      </w:r>
    </w:p>
    <w:p w14:paraId="47D6895E"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patronažna zdravstvena zaštita,</w:t>
      </w:r>
    </w:p>
    <w:p w14:paraId="0C60C985"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zdravstvena njega,</w:t>
      </w:r>
    </w:p>
    <w:p w14:paraId="781FBC25" w14:textId="7777777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palijativna skrb bolesnika</w:t>
      </w:r>
    </w:p>
    <w:p w14:paraId="7481C68F" w14:textId="77777777" w:rsidR="00CC333D" w:rsidRDefault="00CC333D">
      <w:pPr>
        <w:pStyle w:val="Bezproreda"/>
        <w:ind w:left="720"/>
        <w:jc w:val="both"/>
        <w:rPr>
          <w:rFonts w:ascii="Times New Roman" w:hAnsi="Times New Roman" w:cs="Times New Roman"/>
          <w:color w:val="000000" w:themeColor="text1"/>
          <w:sz w:val="24"/>
          <w:szCs w:val="24"/>
        </w:rPr>
      </w:pPr>
    </w:p>
    <w:p w14:paraId="31AB442D" w14:textId="77777777" w:rsidR="00CC333D" w:rsidRDefault="00CC333D">
      <w:pPr>
        <w:pStyle w:val="Bezproreda"/>
        <w:jc w:val="both"/>
        <w:rPr>
          <w:rFonts w:ascii="Times New Roman" w:hAnsi="Times New Roman" w:cs="Times New Roman"/>
          <w:color w:val="000000" w:themeColor="text1"/>
          <w:sz w:val="24"/>
          <w:szCs w:val="24"/>
        </w:rPr>
      </w:pPr>
    </w:p>
    <w:p w14:paraId="12633F4D" w14:textId="77777777" w:rsidR="00CC333D" w:rsidRDefault="00000000">
      <w:pPr>
        <w:pStyle w:val="Bezproreda"/>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IZVJEŠTAJ O PRIHODIMA I RASHODIMA, PRIMICIMA I IZDACIMA</w:t>
      </w:r>
    </w:p>
    <w:p w14:paraId="0480355B" w14:textId="77777777" w:rsidR="00CC333D" w:rsidRDefault="00000000">
      <w:pPr>
        <w:pStyle w:val="Bezproreda"/>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(OBRAZAC PR-RAS)</w:t>
      </w:r>
    </w:p>
    <w:p w14:paraId="458BA95E" w14:textId="77777777" w:rsidR="00CC333D" w:rsidRDefault="00000000">
      <w:pPr>
        <w:pStyle w:val="Bezproreda"/>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19ED55AA" w14:textId="77777777" w:rsidR="00CC333D" w:rsidRDefault="00000000">
      <w:pPr>
        <w:pStyle w:val="Bezproreda"/>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za razdoblje od 01.siječnja 2024.godine do 31.prosinca 2024.godine</w:t>
      </w:r>
    </w:p>
    <w:p w14:paraId="40FC1E6B" w14:textId="77777777" w:rsidR="00CC333D" w:rsidRDefault="00CC333D">
      <w:pPr>
        <w:pStyle w:val="Bezproreda"/>
        <w:jc w:val="both"/>
        <w:rPr>
          <w:rFonts w:ascii="Times New Roman" w:hAnsi="Times New Roman" w:cs="Times New Roman"/>
          <w:b/>
          <w:i/>
          <w:color w:val="000000" w:themeColor="text1"/>
          <w:sz w:val="24"/>
          <w:szCs w:val="24"/>
        </w:rPr>
      </w:pPr>
    </w:p>
    <w:p w14:paraId="2327C989" w14:textId="77777777" w:rsidR="00CC333D" w:rsidRDefault="00000000">
      <w:pPr>
        <w:pStyle w:val="Bezproreda"/>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PRIHODI I PRIMICI:</w:t>
      </w:r>
    </w:p>
    <w:p w14:paraId="486B5E5E" w14:textId="77777777" w:rsidR="00CC333D" w:rsidRDefault="00CC333D">
      <w:pPr>
        <w:pStyle w:val="Bezproreda"/>
        <w:jc w:val="both"/>
        <w:rPr>
          <w:rFonts w:ascii="Times New Roman" w:hAnsi="Times New Roman" w:cs="Times New Roman"/>
          <w:b/>
          <w:color w:val="000000" w:themeColor="text1"/>
          <w:sz w:val="24"/>
          <w:szCs w:val="24"/>
        </w:rPr>
      </w:pPr>
    </w:p>
    <w:p w14:paraId="5A100E91" w14:textId="77777777" w:rsidR="00CC333D" w:rsidRDefault="00000000">
      <w:pPr>
        <w:pStyle w:val="Bezprored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Ukupni prihodi i primici (šifra X678) realizirani su u iznosu od 10.152.114,63 eura odnosno 131,0 % realizacije prethodnog izvještajnog razdoblja, sastoje se od: </w:t>
      </w:r>
    </w:p>
    <w:p w14:paraId="350BC963" w14:textId="77777777" w:rsidR="00CC333D" w:rsidRDefault="00CC333D">
      <w:pPr>
        <w:pStyle w:val="Bezproreda"/>
        <w:jc w:val="both"/>
        <w:rPr>
          <w:rFonts w:ascii="Times New Roman" w:hAnsi="Times New Roman" w:cs="Times New Roman"/>
          <w:color w:val="000000" w:themeColor="text1"/>
          <w:sz w:val="24"/>
          <w:szCs w:val="24"/>
        </w:rPr>
      </w:pPr>
    </w:p>
    <w:p w14:paraId="2039A658" w14:textId="77777777" w:rsidR="00CC333D" w:rsidRDefault="00000000">
      <w:pPr>
        <w:pStyle w:val="Bezproreda"/>
        <w:numPr>
          <w:ilvl w:val="0"/>
          <w:numId w:val="2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prihoda poslovanja (šifra 6) u iznosu od 10.151.488,07 eura,</w:t>
      </w:r>
    </w:p>
    <w:p w14:paraId="5EAF4D77" w14:textId="77777777" w:rsidR="00CC333D" w:rsidRDefault="00CC333D">
      <w:pPr>
        <w:pStyle w:val="Bezproreda"/>
        <w:ind w:left="720"/>
        <w:jc w:val="both"/>
        <w:rPr>
          <w:rFonts w:ascii="Times New Roman" w:hAnsi="Times New Roman" w:cs="Times New Roman"/>
          <w:color w:val="000000" w:themeColor="text1"/>
          <w:sz w:val="24"/>
          <w:szCs w:val="24"/>
        </w:rPr>
      </w:pPr>
    </w:p>
    <w:p w14:paraId="063BC3B9" w14:textId="77777777" w:rsidR="00CC333D" w:rsidRDefault="00000000">
      <w:pPr>
        <w:pStyle w:val="Bezproreda"/>
        <w:numPr>
          <w:ilvl w:val="0"/>
          <w:numId w:val="2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prihoda od prodaje nefinancijske imovine (šifra 7) u iznosu od 626,56 eura (u naravi se odnose na prihode od prodaje stanova i prihoda od prodaje prijevoznih sredstava).</w:t>
      </w:r>
    </w:p>
    <w:p w14:paraId="3DD03C7D" w14:textId="77777777" w:rsidR="00CC333D" w:rsidRDefault="00CC333D">
      <w:pPr>
        <w:pStyle w:val="Bezproreda"/>
        <w:jc w:val="both"/>
        <w:rPr>
          <w:rFonts w:ascii="Times New Roman" w:hAnsi="Times New Roman" w:cs="Times New Roman"/>
          <w:color w:val="000000" w:themeColor="text1"/>
          <w:sz w:val="24"/>
          <w:szCs w:val="24"/>
        </w:rPr>
      </w:pPr>
    </w:p>
    <w:p w14:paraId="78AD6EA9" w14:textId="77777777" w:rsidR="00CC333D" w:rsidRDefault="00000000">
      <w:pPr>
        <w:pStyle w:val="Bezproreda"/>
        <w:numPr>
          <w:ilvl w:val="0"/>
          <w:numId w:val="2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primitaka od financijske imovine i zaduživanja (šifra 8) za razdoblje 01.siječnja 2024.godine do 31.prosinca 2024.godine nema.  </w:t>
      </w:r>
    </w:p>
    <w:p w14:paraId="307B2EC6" w14:textId="77777777" w:rsidR="00CC333D" w:rsidRDefault="00CC333D">
      <w:pPr>
        <w:pStyle w:val="Bezproreda"/>
        <w:rPr>
          <w:rFonts w:ascii="Times New Roman" w:hAnsi="Times New Roman" w:cs="Times New Roman"/>
          <w:i/>
          <w:sz w:val="24"/>
          <w:szCs w:val="24"/>
        </w:rPr>
      </w:pPr>
    </w:p>
    <w:p w14:paraId="00BE32A2" w14:textId="77777777" w:rsidR="00CC333D" w:rsidRDefault="00000000">
      <w:pPr>
        <w:pStyle w:val="Bezproreda"/>
        <w:jc w:val="both"/>
        <w:rPr>
          <w:rFonts w:ascii="Times New Roman" w:hAnsi="Times New Roman" w:cs="Times New Roman"/>
          <w:sz w:val="24"/>
          <w:szCs w:val="24"/>
          <w:u w:val="single"/>
        </w:rPr>
      </w:pPr>
      <w:r>
        <w:rPr>
          <w:rFonts w:ascii="Times New Roman" w:hAnsi="Times New Roman" w:cs="Times New Roman"/>
          <w:sz w:val="24"/>
          <w:szCs w:val="24"/>
          <w:u w:val="single"/>
        </w:rPr>
        <w:t>Struktura prihoda poslovanja ostvarenih u izvještajnom razdoblju je sljedeća:</w:t>
      </w:r>
    </w:p>
    <w:p w14:paraId="1BA91605" w14:textId="77777777" w:rsidR="00CC333D" w:rsidRDefault="00CC333D">
      <w:pPr>
        <w:pStyle w:val="Bezproreda"/>
        <w:jc w:val="both"/>
        <w:rPr>
          <w:rFonts w:ascii="Times New Roman" w:hAnsi="Times New Roman" w:cs="Times New Roman"/>
          <w:sz w:val="24"/>
          <w:szCs w:val="24"/>
          <w:u w:val="single"/>
        </w:rPr>
      </w:pPr>
    </w:p>
    <w:p w14:paraId="40BE74E4" w14:textId="77777777" w:rsidR="00CC333D" w:rsidRDefault="00000000">
      <w:pPr>
        <w:pStyle w:val="Bezproreda"/>
        <w:numPr>
          <w:ilvl w:val="0"/>
          <w:numId w:val="2"/>
        </w:numPr>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kto 63 Tekuće pomoći proračunskim korisnicima iz proračuna koji im nije nadležan (šifra 6361) u naravi se odnose na prihode od Grada Zadra u iznosu od 30.000,00 eura temeljem zaključenog ugovora za sufinanciranje brodskog prijevoza timova opće (obiteljske) medicine na otocima Zadarske županije. Iz državnog proračuna uprihođeno je 19.817,77 eura za podmirenje troškova nastalih zbog isplata po sudskim presudama. </w:t>
      </w:r>
    </w:p>
    <w:p w14:paraId="65972136" w14:textId="77777777" w:rsidR="00CC333D" w:rsidRDefault="00CC333D">
      <w:pPr>
        <w:pStyle w:val="Bezproreda"/>
        <w:ind w:left="720"/>
        <w:jc w:val="both"/>
        <w:rPr>
          <w:rFonts w:ascii="Times New Roman" w:hAnsi="Times New Roman" w:cs="Times New Roman"/>
          <w:color w:val="000000" w:themeColor="text1"/>
          <w:sz w:val="24"/>
          <w:szCs w:val="24"/>
          <w:u w:val="single"/>
        </w:rPr>
      </w:pPr>
    </w:p>
    <w:p w14:paraId="71E1F69F" w14:textId="77777777" w:rsidR="00CC333D" w:rsidRDefault="00000000">
      <w:pPr>
        <w:pStyle w:val="Bezproreda"/>
        <w:numPr>
          <w:ilvl w:val="0"/>
          <w:numId w:val="2"/>
        </w:numPr>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kto 63 Kapitalne pomoći proračunskim korisnicima iz proračuna koji im nije nadležan (šifra 6362) u naravi se odnosi na prihode od Ministarstva Zdravstva ( Ugovor br.3/2024_TA o dodjeli potpore male vrijednosti) u iznosu od 75.560,04 eura za opremanje turističkih ambulanti na području Zadarske županije. </w:t>
      </w:r>
    </w:p>
    <w:p w14:paraId="04BF2215" w14:textId="77777777" w:rsidR="00CC333D" w:rsidRDefault="00CC333D">
      <w:pPr>
        <w:pStyle w:val="Bezproreda"/>
        <w:ind w:left="720"/>
        <w:jc w:val="both"/>
        <w:rPr>
          <w:rFonts w:ascii="Times New Roman" w:hAnsi="Times New Roman" w:cs="Times New Roman"/>
          <w:color w:val="000000" w:themeColor="text1"/>
          <w:sz w:val="24"/>
          <w:szCs w:val="24"/>
          <w:u w:val="single"/>
        </w:rPr>
      </w:pPr>
    </w:p>
    <w:p w14:paraId="338B3DE5" w14:textId="77777777" w:rsidR="00CC333D" w:rsidRDefault="00000000">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kto 63 Tekuće pomoći temeljem prijenosa EU sredstava (šifra 6381) iskazane su u iznosu od 336.869,00 eura, u naravi se radi o prihodima naplaćenim temeljem ispostavljenih Zahtjeva za nadoknadom sredstava iz projekta „</w:t>
      </w:r>
      <w:r>
        <w:rPr>
          <w:rFonts w:ascii="Times New Roman" w:hAnsi="Times New Roman" w:cs="Times New Roman"/>
          <w:sz w:val="24"/>
          <w:szCs w:val="24"/>
          <w:shd w:val="clear" w:color="auto" w:fill="FFFFFF"/>
        </w:rPr>
        <w:t>Specijalističko usavršavanje doktora medicine u Domu zdravlja Zadarske županije kodni broj ugovora  NPOO.C5.1.R3-11.01.0060  kojim se financiraju specijalizacije 12 (dvanaest) liječnika: 9 (devet) iz područja opće (obiteljske) medicine, 2 (dva) iz područja pedijatrije i 1 (jedan) iz područja ginekologije.</w:t>
      </w:r>
    </w:p>
    <w:p w14:paraId="7FD251DB" w14:textId="77777777" w:rsidR="00CC333D" w:rsidRDefault="00CC333D">
      <w:pPr>
        <w:pStyle w:val="Bezproreda"/>
        <w:ind w:left="720"/>
        <w:jc w:val="both"/>
        <w:rPr>
          <w:rFonts w:ascii="Times New Roman" w:hAnsi="Times New Roman" w:cs="Times New Roman"/>
          <w:sz w:val="24"/>
          <w:szCs w:val="24"/>
          <w:shd w:val="clear" w:color="auto" w:fill="FFFFFF"/>
        </w:rPr>
      </w:pPr>
    </w:p>
    <w:p w14:paraId="3EFA7404" w14:textId="39E1498E" w:rsidR="00C139C2" w:rsidRPr="00744C49" w:rsidRDefault="00000000" w:rsidP="00744C49">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kto 64 Prihodi od financijske imovine (šifra 641</w:t>
      </w:r>
    </w:p>
    <w:p w14:paraId="429B2C54" w14:textId="12CF9857" w:rsidR="00CC333D" w:rsidRPr="00E02D4B" w:rsidRDefault="00000000" w:rsidP="00744C49">
      <w:pPr>
        <w:pStyle w:val="Bezproreda"/>
        <w:jc w:val="both"/>
        <w:rPr>
          <w:rFonts w:ascii="Times New Roman" w:hAnsi="Times New Roman" w:cs="Times New Roman"/>
          <w:sz w:val="24"/>
          <w:szCs w:val="24"/>
        </w:rPr>
      </w:pPr>
      <w:r w:rsidRPr="00E02D4B">
        <w:rPr>
          <w:rFonts w:ascii="Times New Roman" w:hAnsi="Times New Roman" w:cs="Times New Roman"/>
          <w:sz w:val="24"/>
          <w:szCs w:val="24"/>
        </w:rPr>
        <w:t xml:space="preserve"> realizirani su u iznosu od 7.761,64 eura, u naravi se odnose na prihode od zateznih kamata iz obveznih odnosa; ovrha. </w:t>
      </w:r>
    </w:p>
    <w:p w14:paraId="56007066" w14:textId="77777777" w:rsidR="00CC333D" w:rsidRDefault="00CC333D">
      <w:pPr>
        <w:pStyle w:val="Bezproreda"/>
        <w:jc w:val="both"/>
        <w:rPr>
          <w:rFonts w:ascii="Times New Roman" w:hAnsi="Times New Roman" w:cs="Times New Roman"/>
          <w:sz w:val="24"/>
          <w:szCs w:val="24"/>
        </w:rPr>
      </w:pPr>
    </w:p>
    <w:p w14:paraId="69E4E9BF" w14:textId="77777777" w:rsidR="00CC333D" w:rsidRDefault="00000000">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kto 65 Prihodi od upravnih i administrativnih pristojbi, pristojbi po posebnim propisima i naknadama (šifra 6526) ostali nespomenuti prihodi realizirani su u iznosu od 156.820,05 eura odnosno 22,2 % povećanje u odnosu na prethodnu godinu.</w:t>
      </w:r>
    </w:p>
    <w:p w14:paraId="0DE8256C" w14:textId="77777777" w:rsidR="00CC333D" w:rsidRDefault="00000000">
      <w:pPr>
        <w:pStyle w:val="Bezproreda"/>
        <w:ind w:left="708"/>
        <w:jc w:val="both"/>
        <w:rPr>
          <w:rFonts w:ascii="Times New Roman" w:hAnsi="Times New Roman" w:cs="Times New Roman"/>
          <w:sz w:val="24"/>
          <w:szCs w:val="24"/>
        </w:rPr>
      </w:pPr>
      <w:r>
        <w:rPr>
          <w:rFonts w:ascii="Times New Roman" w:hAnsi="Times New Roman" w:cs="Times New Roman"/>
          <w:sz w:val="24"/>
          <w:szCs w:val="24"/>
        </w:rPr>
        <w:t xml:space="preserve">U naravi ova grupa prihoda se odnosi na: participaciju, dopunsko zdravstveno osiguranje, prihode od osiguravajućih kuća odnosno refundacija šteta i sl. </w:t>
      </w:r>
    </w:p>
    <w:p w14:paraId="1DF05C54" w14:textId="77777777" w:rsidR="00CC333D" w:rsidRDefault="00CC333D">
      <w:pPr>
        <w:pStyle w:val="Bezproreda"/>
        <w:jc w:val="both"/>
        <w:rPr>
          <w:rFonts w:ascii="Times New Roman" w:hAnsi="Times New Roman" w:cs="Times New Roman"/>
          <w:i/>
          <w:sz w:val="24"/>
          <w:szCs w:val="24"/>
        </w:rPr>
      </w:pPr>
    </w:p>
    <w:p w14:paraId="2912CFEB" w14:textId="77777777" w:rsidR="00CC333D" w:rsidRDefault="00000000">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kto 66 Prihodi od prodaje proizvoda i robe  (šifra 6614) realizirani su u iznosu od 237.706,62 eura odnosno (-0,5 %) manje od realizacije prethodne godine, u naravi se odnose na prihode od zakupa poslovnog prostora.</w:t>
      </w:r>
    </w:p>
    <w:p w14:paraId="51BF3633" w14:textId="77777777" w:rsidR="00CC333D" w:rsidRDefault="00CC333D">
      <w:pPr>
        <w:pStyle w:val="Bezproreda"/>
        <w:ind w:left="720"/>
        <w:jc w:val="both"/>
        <w:rPr>
          <w:rFonts w:ascii="Times New Roman" w:hAnsi="Times New Roman" w:cs="Times New Roman"/>
          <w:sz w:val="24"/>
          <w:szCs w:val="24"/>
        </w:rPr>
      </w:pPr>
    </w:p>
    <w:p w14:paraId="2F8F1579" w14:textId="77777777" w:rsidR="00CC333D" w:rsidRDefault="00000000">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kto 66 Prihodi od pruženih usluga (šifra 6615) realizirani su u iznosu od 222.978,36 eura odnosno (+13,3%) u odnosu na prethodnu godinu.</w:t>
      </w:r>
    </w:p>
    <w:p w14:paraId="1F379FB8" w14:textId="77777777" w:rsidR="00CC333D" w:rsidRDefault="00000000">
      <w:pPr>
        <w:pStyle w:val="Odlomakpopisa"/>
        <w:jc w:val="both"/>
        <w:rPr>
          <w:rFonts w:ascii="Times New Roman" w:hAnsi="Times New Roman" w:cs="Times New Roman"/>
          <w:sz w:val="24"/>
          <w:szCs w:val="24"/>
        </w:rPr>
      </w:pPr>
      <w:r>
        <w:rPr>
          <w:rFonts w:ascii="Times New Roman" w:hAnsi="Times New Roman" w:cs="Times New Roman"/>
          <w:sz w:val="24"/>
          <w:szCs w:val="24"/>
        </w:rPr>
        <w:t>Ova skupina prihoda u naravi se odnosi na prihode od pripravnika (rad u drugim zdravstvenim ustanovama), prihode od stanarina , prefakturiranja režijskih troškova, prihode od pruženih usluga ambulante za osobe s poteškoćama  i ostali prihodi po pruženim uslugama.</w:t>
      </w:r>
    </w:p>
    <w:p w14:paraId="33F72ABD" w14:textId="77777777" w:rsidR="00CC333D" w:rsidRDefault="00CC333D">
      <w:pPr>
        <w:pStyle w:val="Odlomakpopisa"/>
        <w:jc w:val="both"/>
        <w:rPr>
          <w:rFonts w:ascii="Times New Roman" w:hAnsi="Times New Roman" w:cs="Times New Roman"/>
          <w:sz w:val="24"/>
          <w:szCs w:val="24"/>
        </w:rPr>
      </w:pPr>
    </w:p>
    <w:p w14:paraId="2C2F66C8" w14:textId="77777777" w:rsidR="00CC333D" w:rsidRDefault="00000000">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kto 66 Donacije od pravnih i fizičkih osoba izvan općeg proračuna i povrat donacija po protestiranim jamstvima (šifra 6631) u naravi se odnosi na donaciju tvrtke Siemens Healthcare d.o.o.,Zagreb, Heinzlova 70 a, Zagreb u iznosu od 400,00 eura za kotizaciju za sudjelovanje na 11.Kongresu Hrvatskog društva za medicinsku biokemiju i laboratorijsku medicinu sa međunarodnim sudjelovanjem.</w:t>
      </w:r>
    </w:p>
    <w:p w14:paraId="3186E37E" w14:textId="77777777" w:rsidR="00CC333D" w:rsidRDefault="00CC333D">
      <w:pPr>
        <w:pStyle w:val="Odlomakpopisa"/>
        <w:jc w:val="both"/>
        <w:rPr>
          <w:rFonts w:ascii="Times New Roman" w:hAnsi="Times New Roman" w:cs="Times New Roman"/>
          <w:sz w:val="24"/>
          <w:szCs w:val="24"/>
        </w:rPr>
      </w:pPr>
    </w:p>
    <w:p w14:paraId="1ED234A3" w14:textId="15DE65E2"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kto 67 Prihodi iz nadležnog proračuna za financiranje rashoda poslovanja (šifra 6711) ostvareni su u ukupnom iznosu od 1.156.944,11 eura,</w:t>
      </w:r>
      <w:r w:rsidR="00A02417">
        <w:rPr>
          <w:rFonts w:ascii="Times New Roman" w:hAnsi="Times New Roman" w:cs="Times New Roman"/>
          <w:color w:val="000000" w:themeColor="text1"/>
          <w:sz w:val="24"/>
          <w:szCs w:val="24"/>
        </w:rPr>
        <w:t xml:space="preserve"> biježe porast od 79,4 %</w:t>
      </w:r>
      <w:r>
        <w:rPr>
          <w:rFonts w:ascii="Times New Roman" w:hAnsi="Times New Roman" w:cs="Times New Roman"/>
          <w:color w:val="000000" w:themeColor="text1"/>
          <w:sz w:val="24"/>
          <w:szCs w:val="24"/>
        </w:rPr>
        <w:t xml:space="preserve"> sastoje se od: </w:t>
      </w:r>
    </w:p>
    <w:p w14:paraId="013A1F38" w14:textId="77777777" w:rsidR="00CC333D" w:rsidRDefault="00CC333D">
      <w:pPr>
        <w:pStyle w:val="Bezproreda"/>
        <w:jc w:val="both"/>
        <w:rPr>
          <w:rFonts w:ascii="Times New Roman" w:hAnsi="Times New Roman" w:cs="Times New Roman"/>
          <w:color w:val="000000" w:themeColor="text1"/>
          <w:sz w:val="24"/>
          <w:szCs w:val="24"/>
        </w:rPr>
      </w:pPr>
    </w:p>
    <w:p w14:paraId="2DCC5E31" w14:textId="030D3D75" w:rsidR="00CC333D" w:rsidRDefault="00000000">
      <w:pPr>
        <w:pStyle w:val="Bezproreda"/>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prihoda od decentraliziranih sredstva</w:t>
      </w:r>
      <w:r w:rsidR="00C139C2">
        <w:rPr>
          <w:rFonts w:ascii="Times New Roman" w:hAnsi="Times New Roman" w:cs="Times New Roman"/>
          <w:color w:val="000000" w:themeColor="text1"/>
          <w:sz w:val="24"/>
          <w:szCs w:val="24"/>
        </w:rPr>
        <w:t xml:space="preserve"> u iznosu od 43.250, 00 eura:</w:t>
      </w:r>
      <w:r>
        <w:rPr>
          <w:rFonts w:ascii="Times New Roman" w:hAnsi="Times New Roman" w:cs="Times New Roman"/>
          <w:color w:val="000000" w:themeColor="text1"/>
          <w:sz w:val="24"/>
          <w:szCs w:val="24"/>
        </w:rPr>
        <w:t xml:space="preserve"> za usluge tekućeg i investicijskog održavanja medicinske opreme (postojećih 9 UZV uređaja za ginekologiju) u iznosu od 32.760,00 eura  i usluga tekućeg i investicijskog održavanja 4 kotlovnice u iznosu od 10.490,00 eura dok se</w:t>
      </w:r>
    </w:p>
    <w:p w14:paraId="14465625" w14:textId="77777777" w:rsidR="00CC333D" w:rsidRDefault="00000000">
      <w:pPr>
        <w:pStyle w:val="Bezproreda"/>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iznos od 1.113.694,11 eura odnosi na opće prihode i primitke temeljem zaključenih ugovora s osnivačem za: sufinanciranje plaća za medicinsko – biokemijski laboratorij u Obrovcu, sufinanciranje brodskog prijevoza timova opće (obiteljske) medicine na otocima, financiranja pripravnosti stomatologa nedjeljom/blagdanom/praznikom , ugovor o organizaciji palijativne skrbi,</w:t>
      </w:r>
    </w:p>
    <w:p w14:paraId="1CB64E72" w14:textId="77777777" w:rsidR="00A02417" w:rsidRDefault="00A02417" w:rsidP="00A02417">
      <w:pPr>
        <w:pStyle w:val="Bezproreda"/>
        <w:ind w:left="708"/>
        <w:jc w:val="both"/>
        <w:rPr>
          <w:rFonts w:ascii="Times New Roman" w:hAnsi="Times New Roman" w:cs="Times New Roman"/>
          <w:color w:val="000000" w:themeColor="text1"/>
          <w:sz w:val="24"/>
          <w:szCs w:val="24"/>
        </w:rPr>
      </w:pPr>
    </w:p>
    <w:p w14:paraId="69638E56" w14:textId="77777777" w:rsidR="00CC333D" w:rsidRDefault="00CC333D">
      <w:pPr>
        <w:pStyle w:val="Bezproreda"/>
        <w:ind w:left="708"/>
        <w:jc w:val="both"/>
        <w:rPr>
          <w:rFonts w:ascii="Times New Roman" w:hAnsi="Times New Roman" w:cs="Times New Roman"/>
          <w:color w:val="000000" w:themeColor="text1"/>
          <w:sz w:val="24"/>
          <w:szCs w:val="24"/>
        </w:rPr>
      </w:pPr>
    </w:p>
    <w:p w14:paraId="2B5866FA" w14:textId="6C174082"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kto 67 Prihodi od decentraliziranih sredstava iz nadležnog proračuna za financiranje otplate zajma (šifra 6714) ostvareni su u iznosu od 133.242,41 eura a odnose se na otplatu kredita za uređenje prostora za obavljanje djelatnosti u ordinacijama pedijatrije i ginekologije u zgradi Poliklinike OB Zadar (glavnica kredita ESB 5118532431)</w:t>
      </w:r>
      <w:r w:rsidR="00A02417">
        <w:rPr>
          <w:rFonts w:ascii="Times New Roman" w:hAnsi="Times New Roman" w:cs="Times New Roman"/>
          <w:color w:val="000000" w:themeColor="text1"/>
          <w:sz w:val="24"/>
          <w:szCs w:val="24"/>
        </w:rPr>
        <w:t>, istih nije bilo u prethodnom izvj</w:t>
      </w:r>
      <w:r w:rsidR="000B27FB">
        <w:rPr>
          <w:rFonts w:ascii="Times New Roman" w:hAnsi="Times New Roman" w:cs="Times New Roman"/>
          <w:color w:val="000000" w:themeColor="text1"/>
          <w:sz w:val="24"/>
          <w:szCs w:val="24"/>
        </w:rPr>
        <w:t>e</w:t>
      </w:r>
      <w:r w:rsidR="00A02417">
        <w:rPr>
          <w:rFonts w:ascii="Times New Roman" w:hAnsi="Times New Roman" w:cs="Times New Roman"/>
          <w:color w:val="000000" w:themeColor="text1"/>
          <w:sz w:val="24"/>
          <w:szCs w:val="24"/>
        </w:rPr>
        <w:t>štajnom razdoblju.</w:t>
      </w:r>
    </w:p>
    <w:p w14:paraId="79734C00" w14:textId="77777777" w:rsidR="00CC333D" w:rsidRDefault="00CC333D">
      <w:pPr>
        <w:pStyle w:val="Bezproreda"/>
        <w:jc w:val="both"/>
        <w:rPr>
          <w:rFonts w:ascii="Times New Roman" w:hAnsi="Times New Roman" w:cs="Times New Roman"/>
          <w:color w:val="000000" w:themeColor="text1"/>
          <w:sz w:val="24"/>
          <w:szCs w:val="24"/>
        </w:rPr>
      </w:pPr>
    </w:p>
    <w:p w14:paraId="19C45801" w14:textId="77777777" w:rsidR="004F5537" w:rsidRDefault="00000000" w:rsidP="00A02417">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kto 67 Prihodi iz nadležnog proračuna za financiranje rashoda za nabavu nefinancijske imovine (šifra 6712) realizirani su u ukupnom iznosu od 209.910,14 eura</w:t>
      </w:r>
      <w:r w:rsidR="00A02417">
        <w:rPr>
          <w:rFonts w:ascii="Times New Roman" w:hAnsi="Times New Roman" w:cs="Times New Roman"/>
          <w:color w:val="000000" w:themeColor="text1"/>
          <w:sz w:val="24"/>
          <w:szCs w:val="24"/>
        </w:rPr>
        <w:t>, 79,1 % realizacije prethodne godine</w:t>
      </w:r>
      <w:r>
        <w:rPr>
          <w:rFonts w:ascii="Times New Roman" w:hAnsi="Times New Roman" w:cs="Times New Roman"/>
          <w:color w:val="000000" w:themeColor="text1"/>
          <w:sz w:val="24"/>
          <w:szCs w:val="24"/>
        </w:rPr>
        <w:t xml:space="preserve"> a</w:t>
      </w:r>
      <w:r w:rsidR="00A02417">
        <w:rPr>
          <w:rFonts w:ascii="Times New Roman" w:hAnsi="Times New Roman" w:cs="Times New Roman"/>
          <w:color w:val="000000" w:themeColor="text1"/>
          <w:sz w:val="24"/>
          <w:szCs w:val="24"/>
        </w:rPr>
        <w:t xml:space="preserve"> </w:t>
      </w:r>
    </w:p>
    <w:p w14:paraId="1C70E865" w14:textId="77777777" w:rsidR="004F5537" w:rsidRDefault="004F5537" w:rsidP="004F5537">
      <w:pPr>
        <w:pStyle w:val="Odlomakpopisa"/>
        <w:rPr>
          <w:rFonts w:ascii="Times New Roman" w:hAnsi="Times New Roman" w:cs="Times New Roman"/>
          <w:color w:val="000000" w:themeColor="text1"/>
          <w:sz w:val="24"/>
          <w:szCs w:val="24"/>
        </w:rPr>
      </w:pPr>
    </w:p>
    <w:p w14:paraId="369D8598" w14:textId="2BBA00FB" w:rsidR="00987CB1" w:rsidRPr="00A02417" w:rsidRDefault="00000000" w:rsidP="00A02417">
      <w:pPr>
        <w:pStyle w:val="Bezproreda"/>
        <w:numPr>
          <w:ilvl w:val="0"/>
          <w:numId w:val="2"/>
        </w:numPr>
        <w:jc w:val="both"/>
        <w:rPr>
          <w:rFonts w:ascii="Times New Roman" w:hAnsi="Times New Roman" w:cs="Times New Roman"/>
          <w:color w:val="000000" w:themeColor="text1"/>
          <w:sz w:val="24"/>
          <w:szCs w:val="24"/>
        </w:rPr>
      </w:pPr>
      <w:r w:rsidRPr="00A02417">
        <w:rPr>
          <w:rFonts w:ascii="Times New Roman" w:hAnsi="Times New Roman" w:cs="Times New Roman"/>
          <w:color w:val="000000" w:themeColor="text1"/>
          <w:sz w:val="24"/>
          <w:szCs w:val="24"/>
        </w:rPr>
        <w:t>od toga s</w:t>
      </w:r>
      <w:r w:rsidR="00527A78" w:rsidRPr="00A02417">
        <w:rPr>
          <w:rFonts w:ascii="Times New Roman" w:hAnsi="Times New Roman" w:cs="Times New Roman"/>
          <w:color w:val="000000" w:themeColor="text1"/>
          <w:sz w:val="24"/>
          <w:szCs w:val="24"/>
        </w:rPr>
        <w:t>u</w:t>
      </w:r>
      <w:r w:rsidRPr="00A02417">
        <w:rPr>
          <w:rFonts w:ascii="Times New Roman" w:hAnsi="Times New Roman" w:cs="Times New Roman"/>
          <w:color w:val="000000" w:themeColor="text1"/>
          <w:sz w:val="24"/>
          <w:szCs w:val="24"/>
        </w:rPr>
        <w:t xml:space="preserve"> prihodi od decentraliziranih sredstva u iznosu od 194.101,00 eura za nabavu opreme za održavanje i zaštitu, medicinske i laboratorijske opreme,  računalne opreme te ulaganja u računalne programe, dodatna ulaganja na građevinskim objektima u ambulantama u Sukošanu i Benkovcu te prihodi od nadležnog proračuna u iznosu od 15.809,14 eura za financiranje medicinske i laboratorijske opreme.</w:t>
      </w:r>
    </w:p>
    <w:p w14:paraId="474165E9" w14:textId="77777777" w:rsidR="00987CB1" w:rsidRDefault="00987CB1" w:rsidP="00987CB1">
      <w:pPr>
        <w:pStyle w:val="Odlomakpopisa"/>
        <w:jc w:val="both"/>
        <w:rPr>
          <w:rFonts w:ascii="Times New Roman" w:hAnsi="Times New Roman" w:cs="Times New Roman"/>
          <w:color w:val="000000" w:themeColor="text1"/>
          <w:sz w:val="24"/>
          <w:szCs w:val="24"/>
        </w:rPr>
      </w:pPr>
    </w:p>
    <w:p w14:paraId="5E61EFF6" w14:textId="2DE8806E" w:rsidR="00CC333D" w:rsidRPr="00987CB1" w:rsidRDefault="00000000" w:rsidP="00987CB1">
      <w:pPr>
        <w:pStyle w:val="Odlomakpopisa"/>
        <w:numPr>
          <w:ilvl w:val="0"/>
          <w:numId w:val="2"/>
        </w:numPr>
        <w:jc w:val="both"/>
        <w:rPr>
          <w:rFonts w:ascii="Times New Roman" w:hAnsi="Times New Roman" w:cs="Times New Roman"/>
          <w:sz w:val="24"/>
          <w:szCs w:val="24"/>
        </w:rPr>
      </w:pPr>
      <w:r w:rsidRPr="00987CB1">
        <w:rPr>
          <w:rFonts w:ascii="Times New Roman" w:hAnsi="Times New Roman" w:cs="Times New Roman"/>
          <w:sz w:val="24"/>
          <w:szCs w:val="24"/>
        </w:rPr>
        <w:t>kto 67 Prihodi od HZZO-a na temelju ugovornih obveza (šifra 673) realizirani su u iznosu od 7.547.615,38 eura odnosno 129,5 % realizacije prethodne godine.</w:t>
      </w:r>
    </w:p>
    <w:p w14:paraId="6E3F87A8" w14:textId="77777777" w:rsidR="00CC333D" w:rsidRDefault="00000000">
      <w:pPr>
        <w:pStyle w:val="Odlomakpopisa"/>
        <w:jc w:val="both"/>
        <w:rPr>
          <w:rFonts w:ascii="Times New Roman" w:hAnsi="Times New Roman" w:cs="Times New Roman"/>
          <w:sz w:val="24"/>
          <w:szCs w:val="24"/>
        </w:rPr>
      </w:pPr>
      <w:r>
        <w:rPr>
          <w:rFonts w:ascii="Times New Roman" w:hAnsi="Times New Roman" w:cs="Times New Roman"/>
          <w:sz w:val="24"/>
          <w:szCs w:val="24"/>
        </w:rPr>
        <w:t>Vrijednosno najznačajniji dio u iznosu od 5.761.522,45 eura ili 76,33 % čine temeljni prihodi ( tzv.glavarine) za ugovorene timove primarne zdravstvene zaštite iz obveznog zdravstvenog osiguranja u djelatnostima opće ( obiteljske ) medicine , zdravstvene zaštite predškolske djece, zdravstvene zaštite žena i dentalne ( polivalentne ) zdravstvene zaštite , odnosno ugovorene timove u drugim djelatnostima primarne zdravstvene zaštite ( patronažna zdravstvena zaštita , laboratorijska dijagnostika, zdravstvena njega u kući bolesnika i palijativna skrb).</w:t>
      </w:r>
    </w:p>
    <w:p w14:paraId="16442953" w14:textId="77777777" w:rsidR="00CC333D" w:rsidRDefault="00000000">
      <w:pPr>
        <w:pStyle w:val="Odlomakpopisa"/>
        <w:jc w:val="both"/>
        <w:rPr>
          <w:rFonts w:ascii="Times New Roman" w:hAnsi="Times New Roman" w:cs="Times New Roman"/>
          <w:sz w:val="24"/>
          <w:szCs w:val="24"/>
        </w:rPr>
      </w:pPr>
      <w:r>
        <w:rPr>
          <w:rFonts w:ascii="Times New Roman" w:hAnsi="Times New Roman" w:cs="Times New Roman"/>
          <w:sz w:val="24"/>
          <w:szCs w:val="24"/>
        </w:rPr>
        <w:t>Druge prihode za provođenje primarne zdravstvene zaštite iz obveznog zdravstvenog osiguranja u iznosu od 1.786.092,93eura čine prihodi s osnove izvršenih raznovrsnih dijagnostičko-terapijskih postupaka u okviru primarne zdravstvene zaštite u iznosu od 1.383.942,45 eura , prihodi s osnove izrade dentalno-protetskih pomagala u iznosu od 224.392,98 eura. Putem HZZO-a ostvareni su i prihodi s osnove privremenog dodatka na plaću u iznosu od 156.500,64 eura, na temelju Odluke o isplati privremenog dodatka na plaću državnim službenicima i namještenicima u javnim službama ( NN 65/23).Ostvareni su i prihodi u iznosu od 21.256,86 eura temeljem Ugovora o financiranju rada pod nadzorom doktora medicine bez specijalizacije.</w:t>
      </w:r>
    </w:p>
    <w:p w14:paraId="16F0AFBE" w14:textId="77777777" w:rsidR="00CC333D" w:rsidRDefault="00000000">
      <w:pPr>
        <w:pStyle w:val="Bezprored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Prihodi od HZZO su najzastupljeniji i čine 74,35 % izvora financiranja, vlastiti prihodi koje Ustanova ostvari pružanjem usluga na tržištu (od zakupa i dr.) čine 4,54 % izvora financiranja, prihodi od EU fondova čine 3,32 % izvora financiranja, prihodi po posebnim propisima 1,54 %, prihodi od osnivača 11,40 %, prihodi od decentraliziranih sredstava 3,38 % dok se na ostale izvore financiranja odnosi 1,47 % (prihodi od nadležnog ministarstva, prihodi od proračuna koji nisu nadležni/JLPRS-ovi, prihodi od donacija, prihodi od prodaje osobnih automobila i prodaje stanova).</w:t>
      </w:r>
    </w:p>
    <w:p w14:paraId="2A92DC6C" w14:textId="77777777" w:rsidR="00CC333D" w:rsidRDefault="00CC333D">
      <w:pPr>
        <w:pStyle w:val="Bezproreda"/>
        <w:tabs>
          <w:tab w:val="left" w:pos="7392"/>
        </w:tabs>
        <w:jc w:val="both"/>
        <w:rPr>
          <w:rFonts w:ascii="Times New Roman" w:hAnsi="Times New Roman" w:cs="Times New Roman"/>
          <w:sz w:val="24"/>
          <w:szCs w:val="24"/>
        </w:rPr>
      </w:pPr>
    </w:p>
    <w:p w14:paraId="5F1EF140" w14:textId="77777777" w:rsidR="00CC333D" w:rsidRDefault="00CC333D">
      <w:pPr>
        <w:pStyle w:val="Bezproreda"/>
        <w:tabs>
          <w:tab w:val="left" w:pos="7392"/>
        </w:tabs>
        <w:jc w:val="both"/>
        <w:rPr>
          <w:rFonts w:ascii="Times New Roman" w:hAnsi="Times New Roman" w:cs="Times New Roman"/>
          <w:sz w:val="24"/>
          <w:szCs w:val="24"/>
        </w:rPr>
      </w:pPr>
    </w:p>
    <w:p w14:paraId="411A122C" w14:textId="77777777" w:rsidR="00CC333D" w:rsidRDefault="00000000">
      <w:pPr>
        <w:pStyle w:val="Bezproreda"/>
        <w:jc w:val="both"/>
        <w:rPr>
          <w:rFonts w:ascii="Times New Roman" w:hAnsi="Times New Roman" w:cs="Times New Roman"/>
          <w:b/>
          <w:sz w:val="24"/>
          <w:szCs w:val="24"/>
        </w:rPr>
      </w:pPr>
      <w:r>
        <w:rPr>
          <w:rFonts w:ascii="Times New Roman" w:hAnsi="Times New Roman" w:cs="Times New Roman"/>
          <w:b/>
          <w:sz w:val="24"/>
          <w:szCs w:val="24"/>
        </w:rPr>
        <w:t>RASHODI I IZDACI:</w:t>
      </w:r>
    </w:p>
    <w:p w14:paraId="2037E75F" w14:textId="77777777" w:rsidR="00CC333D" w:rsidRDefault="00000000">
      <w:pPr>
        <w:pStyle w:val="Bezprored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Ukupni rashodi i izdaci (šifra Y345) ostvareni su u iznosu od 9.912.013,68 eura odnosno 125,30 % realizacije prethodne godine, a sastoje se od:</w:t>
      </w:r>
    </w:p>
    <w:p w14:paraId="1BB3E2A2" w14:textId="77777777" w:rsidR="00CC333D" w:rsidRDefault="00CC333D">
      <w:pPr>
        <w:pStyle w:val="Bezproreda"/>
        <w:jc w:val="both"/>
        <w:rPr>
          <w:rFonts w:ascii="Times New Roman" w:hAnsi="Times New Roman" w:cs="Times New Roman"/>
          <w:color w:val="000000" w:themeColor="text1"/>
          <w:sz w:val="24"/>
          <w:szCs w:val="24"/>
        </w:rPr>
      </w:pPr>
    </w:p>
    <w:p w14:paraId="5F0A2064" w14:textId="77777777" w:rsidR="00CC333D" w:rsidRDefault="00000000">
      <w:pPr>
        <w:pStyle w:val="Bezproreda"/>
        <w:numPr>
          <w:ilvl w:val="0"/>
          <w:numId w:val="2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rashoda poslovanja (šifra 3) u iznosu od 9.478.708,00 eura,</w:t>
      </w:r>
    </w:p>
    <w:p w14:paraId="2289775E" w14:textId="77777777" w:rsidR="00CC333D" w:rsidRDefault="00000000">
      <w:pPr>
        <w:pStyle w:val="Bezproreda"/>
        <w:numPr>
          <w:ilvl w:val="0"/>
          <w:numId w:val="2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rashoda za nabavu nefinancijske imovine (šifra 4) u iznosu od 300.063,27 eura,</w:t>
      </w:r>
    </w:p>
    <w:p w14:paraId="74EB3DE8" w14:textId="77777777" w:rsidR="00644430" w:rsidRDefault="00000000">
      <w:pPr>
        <w:pStyle w:val="Bezproreda"/>
        <w:numPr>
          <w:ilvl w:val="0"/>
          <w:numId w:val="2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izdaci za financijsku imovinu i </w:t>
      </w:r>
    </w:p>
    <w:p w14:paraId="0EB51F3A" w14:textId="62CD315A" w:rsidR="00CC333D" w:rsidRDefault="00000000">
      <w:pPr>
        <w:pStyle w:val="Bezproreda"/>
        <w:numPr>
          <w:ilvl w:val="0"/>
          <w:numId w:val="2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otplate zajmova u iznosu od 133.242,41 eura.</w:t>
      </w:r>
    </w:p>
    <w:p w14:paraId="557BB1E3" w14:textId="77777777" w:rsidR="00CC333D" w:rsidRDefault="00CC333D">
      <w:pPr>
        <w:pStyle w:val="Bezproreda"/>
        <w:jc w:val="both"/>
        <w:rPr>
          <w:rFonts w:ascii="Times New Roman" w:hAnsi="Times New Roman" w:cs="Times New Roman"/>
          <w:sz w:val="24"/>
          <w:szCs w:val="24"/>
        </w:rPr>
      </w:pPr>
    </w:p>
    <w:p w14:paraId="056425B0" w14:textId="77777777" w:rsidR="00CC333D" w:rsidRDefault="00CC333D">
      <w:pPr>
        <w:pStyle w:val="Bezproreda"/>
        <w:jc w:val="both"/>
        <w:rPr>
          <w:rFonts w:ascii="Times New Roman" w:hAnsi="Times New Roman" w:cs="Times New Roman"/>
          <w:sz w:val="24"/>
          <w:szCs w:val="24"/>
        </w:rPr>
      </w:pPr>
    </w:p>
    <w:p w14:paraId="0DAADF5F" w14:textId="77777777" w:rsidR="000B27FB" w:rsidRDefault="000B27FB">
      <w:pPr>
        <w:pStyle w:val="Bezproreda"/>
        <w:jc w:val="both"/>
        <w:rPr>
          <w:rFonts w:ascii="Times New Roman" w:hAnsi="Times New Roman" w:cs="Times New Roman"/>
          <w:sz w:val="24"/>
          <w:szCs w:val="24"/>
        </w:rPr>
      </w:pPr>
    </w:p>
    <w:p w14:paraId="3605484C" w14:textId="77777777" w:rsidR="000B27FB" w:rsidRDefault="000B27FB">
      <w:pPr>
        <w:pStyle w:val="Bezproreda"/>
        <w:jc w:val="both"/>
        <w:rPr>
          <w:rFonts w:ascii="Times New Roman" w:hAnsi="Times New Roman" w:cs="Times New Roman"/>
          <w:sz w:val="24"/>
          <w:szCs w:val="24"/>
        </w:rPr>
      </w:pPr>
    </w:p>
    <w:p w14:paraId="15B1EE28" w14:textId="77777777" w:rsidR="000B27FB" w:rsidRDefault="000B27FB">
      <w:pPr>
        <w:pStyle w:val="Bezproreda"/>
        <w:jc w:val="both"/>
        <w:rPr>
          <w:rFonts w:ascii="Times New Roman" w:hAnsi="Times New Roman" w:cs="Times New Roman"/>
          <w:sz w:val="24"/>
          <w:szCs w:val="24"/>
        </w:rPr>
      </w:pPr>
    </w:p>
    <w:p w14:paraId="6E068AB4" w14:textId="77777777" w:rsidR="00CC333D" w:rsidRDefault="00000000">
      <w:pPr>
        <w:pStyle w:val="Bezproreda"/>
        <w:ind w:firstLine="360"/>
        <w:jc w:val="both"/>
        <w:rPr>
          <w:rFonts w:ascii="Times New Roman" w:hAnsi="Times New Roman" w:cs="Times New Roman"/>
          <w:sz w:val="24"/>
          <w:szCs w:val="24"/>
          <w:u w:val="single"/>
        </w:rPr>
      </w:pPr>
      <w:r>
        <w:rPr>
          <w:rFonts w:ascii="Times New Roman" w:hAnsi="Times New Roman" w:cs="Times New Roman"/>
          <w:sz w:val="24"/>
          <w:szCs w:val="24"/>
          <w:u w:val="single"/>
        </w:rPr>
        <w:t>Struktura rashoda poslovanja ostvarenih u izvještajnom razdoblju je sljedeća:</w:t>
      </w:r>
    </w:p>
    <w:p w14:paraId="0C041D52" w14:textId="77777777" w:rsidR="00CC333D" w:rsidRDefault="00CC333D">
      <w:pPr>
        <w:pStyle w:val="Bezproreda"/>
        <w:ind w:firstLine="360"/>
        <w:jc w:val="both"/>
        <w:rPr>
          <w:rFonts w:ascii="Times New Roman" w:hAnsi="Times New Roman" w:cs="Times New Roman"/>
          <w:u w:val="single"/>
        </w:rPr>
      </w:pPr>
    </w:p>
    <w:p w14:paraId="14E58512" w14:textId="77777777" w:rsidR="00CC333D" w:rsidRDefault="00000000">
      <w:pPr>
        <w:pStyle w:val="Bezproreda"/>
        <w:numPr>
          <w:ilvl w:val="0"/>
          <w:numId w:val="2"/>
        </w:numPr>
        <w:rPr>
          <w:rFonts w:ascii="Times New Roman" w:hAnsi="Times New Roman" w:cs="Times New Roman"/>
        </w:rPr>
      </w:pPr>
      <w:r>
        <w:rPr>
          <w:rFonts w:ascii="Times New Roman" w:hAnsi="Times New Roman" w:cs="Times New Roman"/>
          <w:color w:val="000000" w:themeColor="text1"/>
        </w:rPr>
        <w:t xml:space="preserve">rashodi za zaposlene (šifra 31) </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 xml:space="preserve">            7.415.835,26 eura</w:t>
      </w:r>
      <w:r>
        <w:rPr>
          <w:rFonts w:ascii="Times New Roman" w:hAnsi="Times New Roman" w:cs="Times New Roman"/>
          <w:color w:val="000000" w:themeColor="text1"/>
        </w:rPr>
        <w:tab/>
        <w:t>78,24%</w:t>
      </w:r>
      <w:r>
        <w:rPr>
          <w:rFonts w:ascii="Times New Roman" w:hAnsi="Times New Roman" w:cs="Times New Roman"/>
          <w:color w:val="000000" w:themeColor="text1"/>
        </w:rPr>
        <w:tab/>
      </w:r>
    </w:p>
    <w:p w14:paraId="442EB272" w14:textId="77777777" w:rsidR="00CC333D" w:rsidRDefault="00000000">
      <w:pPr>
        <w:pStyle w:val="Bezproreda"/>
        <w:numPr>
          <w:ilvl w:val="0"/>
          <w:numId w:val="2"/>
        </w:numPr>
        <w:rPr>
          <w:rFonts w:ascii="Times New Roman" w:hAnsi="Times New Roman" w:cs="Times New Roman"/>
        </w:rPr>
      </w:pPr>
      <w:r>
        <w:rPr>
          <w:rFonts w:ascii="Times New Roman" w:hAnsi="Times New Roman" w:cs="Times New Roman"/>
        </w:rPr>
        <w:t xml:space="preserve">materijalni rashodi (šifra 32)              </w:t>
      </w:r>
      <w:r>
        <w:rPr>
          <w:rFonts w:ascii="Times New Roman" w:hAnsi="Times New Roman" w:cs="Times New Roman"/>
        </w:rPr>
        <w:tab/>
      </w:r>
      <w:r>
        <w:rPr>
          <w:rFonts w:ascii="Times New Roman" w:hAnsi="Times New Roman" w:cs="Times New Roman"/>
        </w:rPr>
        <w:tab/>
        <w:t xml:space="preserve">            2.018.506,97 eura</w:t>
      </w:r>
      <w:r>
        <w:rPr>
          <w:rFonts w:ascii="Times New Roman" w:hAnsi="Times New Roman" w:cs="Times New Roman"/>
        </w:rPr>
        <w:tab/>
        <w:t>21,30%</w:t>
      </w:r>
      <w:r>
        <w:rPr>
          <w:rFonts w:ascii="Times New Roman" w:hAnsi="Times New Roman" w:cs="Times New Roman"/>
        </w:rPr>
        <w:tab/>
      </w:r>
    </w:p>
    <w:p w14:paraId="4E808E03" w14:textId="77777777" w:rsidR="00CC333D" w:rsidRDefault="00000000">
      <w:pPr>
        <w:pStyle w:val="Bezproreda"/>
        <w:numPr>
          <w:ilvl w:val="0"/>
          <w:numId w:val="2"/>
        </w:numPr>
        <w:rPr>
          <w:rFonts w:ascii="Times New Roman" w:hAnsi="Times New Roman" w:cs="Times New Roman"/>
        </w:rPr>
      </w:pPr>
      <w:r>
        <w:rPr>
          <w:rFonts w:ascii="Times New Roman" w:hAnsi="Times New Roman" w:cs="Times New Roman"/>
        </w:rPr>
        <w:t xml:space="preserve">financijski rashodi (šifra 34)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44.263,21eura</w:t>
      </w:r>
      <w:r>
        <w:rPr>
          <w:rFonts w:ascii="Times New Roman" w:hAnsi="Times New Roman" w:cs="Times New Roman"/>
        </w:rPr>
        <w:tab/>
        <w:t xml:space="preserve">  0,47%</w:t>
      </w:r>
      <w:r>
        <w:rPr>
          <w:rFonts w:ascii="Times New Roman" w:hAnsi="Times New Roman" w:cs="Times New Roman"/>
        </w:rPr>
        <w:tab/>
        <w:t xml:space="preserve">  </w:t>
      </w:r>
    </w:p>
    <w:p w14:paraId="34D4F7AF" w14:textId="3DF07892" w:rsidR="00CC333D" w:rsidRDefault="00000000">
      <w:pPr>
        <w:pStyle w:val="Bezproreda"/>
        <w:numPr>
          <w:ilvl w:val="0"/>
          <w:numId w:val="2"/>
        </w:numPr>
        <w:rPr>
          <w:rFonts w:ascii="Times New Roman" w:hAnsi="Times New Roman" w:cs="Times New Roman"/>
        </w:rPr>
      </w:pPr>
      <w:r>
        <w:rPr>
          <w:rFonts w:ascii="Times New Roman" w:hAnsi="Times New Roman" w:cs="Times New Roman"/>
        </w:rPr>
        <w:t>ostali rashodi (šifra 3</w:t>
      </w:r>
      <w:r w:rsidR="00C83F63">
        <w:rPr>
          <w:rFonts w:ascii="Times New Roman" w:hAnsi="Times New Roman" w:cs="Times New Roman"/>
        </w:rPr>
        <w:t>8</w:t>
      </w:r>
      <w:r>
        <w:rPr>
          <w:rFonts w:ascii="Times New Roman" w:hAnsi="Times New Roman" w:cs="Times New Roman"/>
        </w:rPr>
        <w:t>)</w:t>
      </w:r>
      <w:r>
        <w:rPr>
          <w:rFonts w:ascii="Times New Roman" w:hAnsi="Times New Roman" w:cs="Times New Roman"/>
        </w:rPr>
        <w:tab/>
        <w:t xml:space="preserve">                                                             102,56 eura            0,001%               </w:t>
      </w:r>
    </w:p>
    <w:p w14:paraId="692ED24F" w14:textId="77777777" w:rsidR="00CC333D" w:rsidRDefault="00CC333D">
      <w:pPr>
        <w:pStyle w:val="Bezproreda"/>
        <w:ind w:left="720"/>
        <w:rPr>
          <w:rFonts w:ascii="Times New Roman" w:hAnsi="Times New Roman" w:cs="Times New Roman"/>
          <w:color w:val="000000" w:themeColor="text1"/>
        </w:rPr>
      </w:pPr>
    </w:p>
    <w:p w14:paraId="44470374" w14:textId="77777777" w:rsidR="00CC333D" w:rsidRDefault="00000000">
      <w:pPr>
        <w:pStyle w:val="Bezproreda"/>
        <w:ind w:left="720"/>
        <w:rPr>
          <w:rFonts w:ascii="Times New Roman" w:hAnsi="Times New Roman" w:cs="Times New Roman"/>
          <w:color w:val="000000" w:themeColor="text1"/>
        </w:rPr>
      </w:pPr>
      <w:r>
        <w:rPr>
          <w:rFonts w:ascii="Times New Roman" w:hAnsi="Times New Roman" w:cs="Times New Roman"/>
          <w:color w:val="000000" w:themeColor="text1"/>
        </w:rPr>
        <w:t>_______________________________</w:t>
      </w:r>
      <w:r>
        <w:rPr>
          <w:rFonts w:ascii="Times New Roman" w:hAnsi="Times New Roman" w:cs="Times New Roman"/>
          <w:color w:val="000000" w:themeColor="text1"/>
          <w:u w:val="single"/>
        </w:rPr>
        <w:t xml:space="preserve">        ukupno:       9.478.708,00 eura            100%</w:t>
      </w:r>
    </w:p>
    <w:p w14:paraId="735C6269" w14:textId="77777777" w:rsidR="00CC333D" w:rsidRDefault="00CC333D">
      <w:pPr>
        <w:pStyle w:val="Bezproreda"/>
        <w:rPr>
          <w:rFonts w:ascii="Times New Roman" w:hAnsi="Times New Roman" w:cs="Times New Roman"/>
          <w:color w:val="000000" w:themeColor="text1"/>
          <w:sz w:val="24"/>
          <w:szCs w:val="24"/>
        </w:rPr>
      </w:pPr>
    </w:p>
    <w:p w14:paraId="3A385E37"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Temeljem naprijed navedenih podataka evidentno je da su u rashodima poslovanja najzastupljeniji rashodi za zaposlene (šifra 31),  u odnosu na prethodno izvještajno razdoblje bilježe porast od +28,5%.</w:t>
      </w:r>
    </w:p>
    <w:p w14:paraId="1F83386D" w14:textId="77777777" w:rsidR="00CC333D" w:rsidRDefault="00000000">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Sukladno Uredbi o nazivima radnih mjesta ,uvjetima za raspored i koeficijentima za obračun plaće u javnim službama (NN 22/24) došlo je do porasta koeficijenata od 01.03.2024. godine   </w:t>
      </w:r>
      <w:r>
        <w:rPr>
          <w:rFonts w:ascii="Times New Roman" w:hAnsi="Times New Roman" w:cs="Times New Roman"/>
          <w:sz w:val="24"/>
          <w:szCs w:val="24"/>
        </w:rPr>
        <w:t>a posljedično i rasta visine iznosa doprinosa.</w:t>
      </w:r>
    </w:p>
    <w:p w14:paraId="08187C47" w14:textId="77777777" w:rsidR="00CC333D" w:rsidRDefault="00000000">
      <w:pPr>
        <w:jc w:val="both"/>
        <w:rPr>
          <w:rFonts w:ascii="Times New Roman" w:hAnsi="Times New Roman" w:cs="Times New Roman"/>
          <w:sz w:val="24"/>
          <w:szCs w:val="24"/>
        </w:rPr>
      </w:pPr>
      <w:r>
        <w:rPr>
          <w:rFonts w:ascii="Times New Roman" w:hAnsi="Times New Roman" w:cs="Times New Roman"/>
          <w:sz w:val="24"/>
          <w:szCs w:val="24"/>
        </w:rPr>
        <w:t>Temeljem Kolektivnog ugovora za zaposlene u javnim službama čl.81 (NN 22/24) isplaćena je godišnja nagrada za uskršnje blagdane u iznosu od 26.000,00 eura koje u izvještajnom razdoblju prethodne godine nije bilo.</w:t>
      </w:r>
    </w:p>
    <w:p w14:paraId="2E6458A1" w14:textId="669AAD56" w:rsidR="00CC333D" w:rsidRDefault="00000000">
      <w:pPr>
        <w:jc w:val="both"/>
        <w:rPr>
          <w:rFonts w:ascii="Times New Roman" w:hAnsi="Times New Roman" w:cs="Times New Roman"/>
          <w:sz w:val="24"/>
          <w:szCs w:val="24"/>
        </w:rPr>
      </w:pPr>
      <w:r>
        <w:rPr>
          <w:rFonts w:ascii="Times New Roman" w:hAnsi="Times New Roman" w:cs="Times New Roman"/>
          <w:sz w:val="24"/>
          <w:szCs w:val="24"/>
        </w:rPr>
        <w:t>Povećanje rashoda za plaće radnika izazvala su prava radnika kroz tužbe o prekovremenim satima , sudskim sporovima u iznosu od 38.409,77 eura kojih također nije bilo u izvještajnom razdoblju prethodne godine.</w:t>
      </w:r>
    </w:p>
    <w:p w14:paraId="5AA8F21A" w14:textId="77777777" w:rsidR="00CC333D" w:rsidRDefault="00000000">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Pored naprijed navedenih rashoda u ovu skupinu rashoda pripadaju i ostali </w:t>
      </w:r>
      <w:r>
        <w:rPr>
          <w:rFonts w:ascii="Times New Roman" w:hAnsi="Times New Roman" w:cs="Times New Roman"/>
          <w:sz w:val="24"/>
          <w:szCs w:val="24"/>
        </w:rPr>
        <w:t>rashodi za zaposlene ( jubilarne nagrade, otpremnine, naknade za bolest, invalidnost, smrtni slučaj, odvojeni život i slično).</w:t>
      </w:r>
    </w:p>
    <w:p w14:paraId="1E5CB294" w14:textId="77777777" w:rsidR="00CC333D" w:rsidRDefault="00000000">
      <w:pPr>
        <w:jc w:val="both"/>
        <w:rPr>
          <w:b/>
          <w:bCs/>
        </w:rPr>
      </w:pPr>
      <w:r>
        <w:rPr>
          <w:rFonts w:ascii="Times New Roman" w:hAnsi="Times New Roman" w:cs="Times New Roman"/>
          <w:color w:val="000000" w:themeColor="text1"/>
          <w:sz w:val="24"/>
          <w:szCs w:val="24"/>
        </w:rPr>
        <w:t>Prosječan broj zaposlenih kod korisnika na osnovi stanja na početku i na kraju izvještajnog razdoblja od 01.01.2024. do 31.12.2024.godine. (šifra Z007) iznosi 263 djelatnika, što je za 3  djelatnika više nego u izvještajnom razdoblju prošle godine kada je ustanova zapošljavala 260 djelatnika .</w:t>
      </w:r>
    </w:p>
    <w:p w14:paraId="653B9727"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Materijalni rashodi (šifra 32) u izvještajnom razdoblju ostvareni su u iznosu od 2.018.506,97 eura odnosno bilježe porast od 17 % u odnosu na prethodnu godinu.</w:t>
      </w:r>
    </w:p>
    <w:p w14:paraId="3A22A6A2" w14:textId="77777777" w:rsidR="00CC333D" w:rsidRDefault="00000000">
      <w:pPr>
        <w:pStyle w:val="Bezproreda"/>
        <w:jc w:val="both"/>
      </w:pPr>
      <w:r>
        <w:rPr>
          <w:rFonts w:ascii="Times New Roman" w:hAnsi="Times New Roman" w:cs="Times New Roman"/>
          <w:color w:val="000000" w:themeColor="text1"/>
          <w:sz w:val="24"/>
          <w:szCs w:val="24"/>
          <w:u w:val="single"/>
        </w:rPr>
        <w:t>Struktura materijalnih rashoda je sljedeća:</w:t>
      </w:r>
    </w:p>
    <w:p w14:paraId="5E5F6B2B" w14:textId="77777777" w:rsidR="00CC333D" w:rsidRDefault="00CC333D">
      <w:pPr>
        <w:pStyle w:val="Bezproreda"/>
        <w:jc w:val="both"/>
        <w:rPr>
          <w:rFonts w:ascii="Times New Roman" w:hAnsi="Times New Roman" w:cs="Times New Roman"/>
          <w:color w:val="000000" w:themeColor="text1"/>
          <w:sz w:val="24"/>
          <w:szCs w:val="24"/>
          <w:u w:val="single"/>
        </w:rPr>
      </w:pPr>
    </w:p>
    <w:p w14:paraId="1900C980" w14:textId="5BA80BAA" w:rsidR="00CA394A"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Naknade troškova zaposlenima (šifra 321) realizirane su u iznosu od 220.888,49 eura, u odnosu na prethodno izvještajno razdoblje bilježe porast za 7,2 %. Najviše bilježe porast rashodi za naknade za prijevoz, za rad na terenu i odvojeni život od 10,9 % (porastao je broj djelatnika koji su koristili naknadu za odvojeni život, specijalizanti koji su dio specijalizacije obavljali u Zagrebu ). Porasli su i rashodi  za službena putovanja za 64%  (dnevnice za službeni put u zemlji i inozemstvu, naknade za smještaj na službenom putu, naknade za prijevoz na službenom putu) </w:t>
      </w:r>
      <w:r w:rsidR="00CA394A">
        <w:rPr>
          <w:rFonts w:ascii="Times New Roman" w:hAnsi="Times New Roman" w:cs="Times New Roman"/>
          <w:color w:val="000000" w:themeColor="text1"/>
          <w:sz w:val="24"/>
          <w:szCs w:val="24"/>
        </w:rPr>
        <w:t xml:space="preserve">. Rashodi za stručno usavršavanje djelatnika (seminari, savjetovanje, simpoziji, tečajevi i stručni ispiti ) smanjeni su za 55%. Rashodi za sufinanciranje smještaja </w:t>
      </w:r>
      <w:r w:rsidR="00004B40">
        <w:rPr>
          <w:rFonts w:ascii="Times New Roman" w:hAnsi="Times New Roman" w:cs="Times New Roman"/>
          <w:color w:val="000000" w:themeColor="text1"/>
          <w:sz w:val="24"/>
          <w:szCs w:val="24"/>
        </w:rPr>
        <w:t>liječnika (</w:t>
      </w:r>
      <w:r w:rsidR="00AA2B7C">
        <w:rPr>
          <w:rFonts w:ascii="Times New Roman" w:hAnsi="Times New Roman" w:cs="Times New Roman"/>
          <w:color w:val="000000" w:themeColor="text1"/>
          <w:sz w:val="24"/>
          <w:szCs w:val="24"/>
        </w:rPr>
        <w:t>financirani od strane Zadarske županije , Ugovor o financiranju smještaja doktorima medicine</w:t>
      </w:r>
      <w:r w:rsidR="00004B40">
        <w:rPr>
          <w:rFonts w:ascii="Times New Roman" w:hAnsi="Times New Roman" w:cs="Times New Roman"/>
          <w:color w:val="000000" w:themeColor="text1"/>
          <w:sz w:val="24"/>
          <w:szCs w:val="24"/>
        </w:rPr>
        <w:t xml:space="preserve">) </w:t>
      </w:r>
      <w:r w:rsidR="00004B40">
        <w:rPr>
          <w:rFonts w:ascii="Times New Roman" w:hAnsi="Times New Roman" w:cs="Times New Roman"/>
          <w:color w:val="000000" w:themeColor="text1"/>
          <w:sz w:val="24"/>
          <w:szCs w:val="24"/>
        </w:rPr>
        <w:lastRenderedPageBreak/>
        <w:t>realizirani su iznosu od 8.250,00 eura i istih nije bilo u prethodnom izvještajnom razdoblju.</w:t>
      </w:r>
    </w:p>
    <w:p w14:paraId="0D9F340E" w14:textId="0DCD5349" w:rsidR="00CC333D" w:rsidRDefault="00CA394A" w:rsidP="00CA394A">
      <w:pPr>
        <w:pStyle w:val="Bezproreda"/>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F9CB1FD" w14:textId="77777777" w:rsidR="00CC333D" w:rsidRDefault="00CC333D">
      <w:pPr>
        <w:pStyle w:val="Bezproreda"/>
        <w:jc w:val="both"/>
        <w:rPr>
          <w:rFonts w:ascii="Times New Roman" w:hAnsi="Times New Roman" w:cs="Times New Roman"/>
          <w:i/>
          <w:color w:val="000000" w:themeColor="text1"/>
          <w:sz w:val="24"/>
          <w:szCs w:val="24"/>
        </w:rPr>
      </w:pPr>
    </w:p>
    <w:p w14:paraId="74B83833" w14:textId="77777777" w:rsidR="009A7F81" w:rsidRDefault="00000000" w:rsidP="009A7F81">
      <w:pPr>
        <w:pStyle w:val="Bezproreda"/>
        <w:numPr>
          <w:ilvl w:val="0"/>
          <w:numId w:val="2"/>
        </w:numPr>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Rashodi za materijal i energiju (šifra 322) iskazani su u iznosu od 645.803,49 eura, odnosno bilježe porast za 5,9 % u odnosu na prethodno izvještajno razdoblje.</w:t>
      </w:r>
    </w:p>
    <w:p w14:paraId="5EFCDDAC" w14:textId="2CA6E635" w:rsidR="00805856" w:rsidRDefault="00000000" w:rsidP="00805856">
      <w:pPr>
        <w:pStyle w:val="Bezproreda"/>
        <w:ind w:left="708"/>
        <w:jc w:val="both"/>
        <w:rPr>
          <w:rFonts w:ascii="Times New Roman" w:hAnsi="Times New Roman" w:cs="Times New Roman"/>
          <w:color w:val="000000" w:themeColor="text1"/>
          <w:sz w:val="24"/>
          <w:szCs w:val="24"/>
        </w:rPr>
      </w:pPr>
      <w:r w:rsidRPr="009A7F81">
        <w:rPr>
          <w:rFonts w:ascii="Times New Roman" w:hAnsi="Times New Roman" w:cs="Times New Roman"/>
          <w:color w:val="000000" w:themeColor="text1"/>
          <w:sz w:val="24"/>
          <w:szCs w:val="24"/>
        </w:rPr>
        <w:t>U ovoj skupini najznačajniji su: rashodi za materijal i sirovine i iznose 379.956,93 eura  i bilježe porast za 11,2 % uslijed povećanja cijena</w:t>
      </w:r>
      <w:r w:rsidR="00CA1662">
        <w:rPr>
          <w:rFonts w:ascii="Times New Roman" w:hAnsi="Times New Roman" w:cs="Times New Roman"/>
          <w:color w:val="000000" w:themeColor="text1"/>
          <w:sz w:val="24"/>
          <w:szCs w:val="24"/>
        </w:rPr>
        <w:t xml:space="preserve"> na tržištu </w:t>
      </w:r>
      <w:r w:rsidRPr="009A7F81">
        <w:rPr>
          <w:rFonts w:ascii="Times New Roman" w:hAnsi="Times New Roman" w:cs="Times New Roman"/>
          <w:color w:val="000000" w:themeColor="text1"/>
          <w:sz w:val="24"/>
          <w:szCs w:val="24"/>
        </w:rPr>
        <w:t xml:space="preserve"> stomatološkog materijala, laboratorijskog  materijala, medicinsko potrošnog  materijala, pomoćnog i sanitetskog materijala i lijekova) te rashodi za energiju u iznosu od 215.148,72 eura (električna energija, motorni benzin i dizel gorivo, lož ulje, messer plin) koji bilježe porast od 1,70 %  tako da nema većih odstupanja u odnosu na prethodno izvještajno razdoblje.</w:t>
      </w:r>
      <w:r w:rsidR="00AA2B7C" w:rsidRPr="009A7F81">
        <w:rPr>
          <w:rFonts w:ascii="Times New Roman" w:hAnsi="Times New Roman" w:cs="Times New Roman"/>
          <w:color w:val="000000" w:themeColor="text1"/>
          <w:sz w:val="24"/>
          <w:szCs w:val="24"/>
        </w:rPr>
        <w:t xml:space="preserve"> Tu su još rashodi za uredski materijal</w:t>
      </w:r>
      <w:r w:rsidR="004131CC" w:rsidRPr="009A7F81">
        <w:rPr>
          <w:rFonts w:ascii="Times New Roman" w:hAnsi="Times New Roman" w:cs="Times New Roman"/>
          <w:color w:val="000000" w:themeColor="text1"/>
          <w:sz w:val="24"/>
          <w:szCs w:val="24"/>
        </w:rPr>
        <w:t xml:space="preserve">i </w:t>
      </w:r>
      <w:r w:rsidR="00AA2B7C" w:rsidRPr="009A7F81">
        <w:rPr>
          <w:rFonts w:ascii="Times New Roman" w:hAnsi="Times New Roman" w:cs="Times New Roman"/>
          <w:color w:val="000000" w:themeColor="text1"/>
          <w:sz w:val="24"/>
          <w:szCs w:val="24"/>
        </w:rPr>
        <w:t xml:space="preserve">koji su realizirani 88,6 % </w:t>
      </w:r>
      <w:r w:rsidR="004131CC" w:rsidRPr="009A7F81">
        <w:rPr>
          <w:rFonts w:ascii="Times New Roman" w:hAnsi="Times New Roman" w:cs="Times New Roman"/>
          <w:color w:val="000000" w:themeColor="text1"/>
          <w:sz w:val="24"/>
          <w:szCs w:val="24"/>
        </w:rPr>
        <w:t xml:space="preserve"> te rashodi za  materijal dijelove za tekuće i investicijsko održavanje </w:t>
      </w:r>
      <w:r w:rsidR="00D67935" w:rsidRPr="009A7F81">
        <w:rPr>
          <w:rFonts w:ascii="Times New Roman" w:hAnsi="Times New Roman" w:cs="Times New Roman"/>
          <w:color w:val="000000" w:themeColor="text1"/>
          <w:sz w:val="24"/>
          <w:szCs w:val="24"/>
        </w:rPr>
        <w:t>koji su porasli za 25,1</w:t>
      </w:r>
      <w:r w:rsidR="00A80A80" w:rsidRPr="009A7F81">
        <w:rPr>
          <w:rFonts w:ascii="Times New Roman" w:hAnsi="Times New Roman" w:cs="Times New Roman"/>
          <w:color w:val="000000" w:themeColor="text1"/>
          <w:sz w:val="24"/>
          <w:szCs w:val="24"/>
        </w:rPr>
        <w:t>%</w:t>
      </w:r>
      <w:r w:rsidR="009A7F81">
        <w:rPr>
          <w:rFonts w:ascii="Times New Roman" w:hAnsi="Times New Roman" w:cs="Times New Roman"/>
          <w:color w:val="000000" w:themeColor="text1"/>
          <w:sz w:val="24"/>
          <w:szCs w:val="24"/>
        </w:rPr>
        <w:t xml:space="preserve">. </w:t>
      </w:r>
    </w:p>
    <w:p w14:paraId="25103690" w14:textId="77777777" w:rsidR="00E70981" w:rsidRPr="00805856" w:rsidRDefault="00E70981" w:rsidP="00805856">
      <w:pPr>
        <w:pStyle w:val="Bezproreda"/>
        <w:ind w:left="708"/>
        <w:jc w:val="both"/>
        <w:rPr>
          <w:rFonts w:ascii="Times New Roman" w:hAnsi="Times New Roman" w:cs="Times New Roman"/>
          <w:color w:val="FF0000"/>
          <w:sz w:val="24"/>
          <w:szCs w:val="24"/>
        </w:rPr>
      </w:pPr>
    </w:p>
    <w:p w14:paraId="4D2513B6" w14:textId="77777777" w:rsidR="00C724A5" w:rsidRDefault="00805856" w:rsidP="0046756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Rashodi za usluge (šifra 323) realizirani su u iznosu od 979.843,89 eura odnosno 115,60% realizacije prethodnog izvještajnog razd</w:t>
      </w:r>
      <w:r w:rsidR="00467560">
        <w:rPr>
          <w:rFonts w:ascii="Times New Roman" w:hAnsi="Times New Roman" w:cs="Times New Roman"/>
          <w:color w:val="000000" w:themeColor="text1"/>
          <w:sz w:val="24"/>
          <w:szCs w:val="24"/>
        </w:rPr>
        <w:t>oblja.</w:t>
      </w:r>
    </w:p>
    <w:p w14:paraId="39C4EE36" w14:textId="4D77BFBF" w:rsidR="00CA1662" w:rsidRPr="003026B7" w:rsidRDefault="00C724A5" w:rsidP="005F6354">
      <w:pPr>
        <w:pStyle w:val="Bezproreda"/>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Najveći porast rashoda od 38,3 % je na </w:t>
      </w:r>
      <w:r w:rsidRPr="00467560">
        <w:rPr>
          <w:rFonts w:ascii="Times New Roman" w:hAnsi="Times New Roman" w:cs="Times New Roman"/>
          <w:color w:val="000000" w:themeColor="text1"/>
          <w:sz w:val="24"/>
          <w:szCs w:val="24"/>
        </w:rPr>
        <w:t xml:space="preserve"> uslug</w:t>
      </w:r>
      <w:r>
        <w:rPr>
          <w:rFonts w:ascii="Times New Roman" w:hAnsi="Times New Roman" w:cs="Times New Roman"/>
          <w:color w:val="000000" w:themeColor="text1"/>
          <w:sz w:val="24"/>
          <w:szCs w:val="24"/>
        </w:rPr>
        <w:t>ama</w:t>
      </w:r>
      <w:r w:rsidRPr="00467560">
        <w:rPr>
          <w:rFonts w:ascii="Times New Roman" w:hAnsi="Times New Roman" w:cs="Times New Roman"/>
          <w:color w:val="000000" w:themeColor="text1"/>
          <w:sz w:val="24"/>
          <w:szCs w:val="24"/>
        </w:rPr>
        <w:t xml:space="preserve"> tekućeg i investicijskog održavanja medicinske i ne-medicinske opreme/vozila/građevinskih objekata (vlastitih i tuđih) u iznosu od 220.703,77 e</w:t>
      </w:r>
      <w:r>
        <w:rPr>
          <w:rFonts w:ascii="Times New Roman" w:hAnsi="Times New Roman" w:cs="Times New Roman"/>
          <w:color w:val="000000" w:themeColor="text1"/>
          <w:sz w:val="24"/>
          <w:szCs w:val="24"/>
        </w:rPr>
        <w:t xml:space="preserve">ura </w:t>
      </w:r>
      <w:r w:rsidR="00467560" w:rsidRPr="00467560">
        <w:rPr>
          <w:rFonts w:ascii="Times New Roman" w:hAnsi="Times New Roman" w:cs="Times New Roman"/>
          <w:color w:val="000000" w:themeColor="text1"/>
          <w:sz w:val="24"/>
          <w:szCs w:val="24"/>
        </w:rPr>
        <w:t xml:space="preserve">( protekom vremena ambulante Doma zdravlja Zadarske županije nalaze se u zastarjelim i trošnim zgradama koje je potrebno redovito održavati, također je potrebno raditi hitne intervencije na građevinskim objektima uslijed trošnosti i propadanja) </w:t>
      </w:r>
      <w:r w:rsidRPr="004675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te porast od 28,9 % zdravstvenih i veterinarskih usluga  </w:t>
      </w:r>
      <w:r w:rsidR="00E7120E">
        <w:rPr>
          <w:rFonts w:ascii="Times New Roman" w:hAnsi="Times New Roman" w:cs="Times New Roman"/>
          <w:color w:val="000000" w:themeColor="text1"/>
          <w:sz w:val="24"/>
          <w:szCs w:val="24"/>
        </w:rPr>
        <w:t>u iznosu od 275.166,56 eura (najzastupljeniji u ovoj grupi rashoda)</w:t>
      </w:r>
      <w:r w:rsidR="00A80688">
        <w:rPr>
          <w:rFonts w:ascii="Times New Roman" w:hAnsi="Times New Roman" w:cs="Times New Roman"/>
          <w:color w:val="000000" w:themeColor="text1"/>
          <w:sz w:val="24"/>
          <w:szCs w:val="24"/>
        </w:rPr>
        <w:t xml:space="preserve"> a u naravi se odnose na laboratorijske usluge , zdravstvene usluge drugih ustanova, usluge zubotehničkih laboratorija za potrebe </w:t>
      </w:r>
      <w:r w:rsidR="004E5F05">
        <w:rPr>
          <w:rFonts w:ascii="Times New Roman" w:hAnsi="Times New Roman" w:cs="Times New Roman"/>
          <w:color w:val="000000" w:themeColor="text1"/>
          <w:sz w:val="24"/>
          <w:szCs w:val="24"/>
        </w:rPr>
        <w:t>ordinacija dentalne medicine te pripravnost stomatologa nedjeljom /blagdanom/praznikom koja je ugovorena u suradnji sa osnivačem.</w:t>
      </w:r>
      <w:r w:rsidR="002A0BAA">
        <w:rPr>
          <w:rFonts w:ascii="Times New Roman" w:hAnsi="Times New Roman" w:cs="Times New Roman"/>
          <w:color w:val="000000" w:themeColor="text1"/>
          <w:sz w:val="24"/>
          <w:szCs w:val="24"/>
        </w:rPr>
        <w:t xml:space="preserve"> </w:t>
      </w:r>
      <w:r w:rsidR="00BB379C" w:rsidRPr="003026B7">
        <w:rPr>
          <w:rFonts w:ascii="Times New Roman" w:hAnsi="Times New Roman" w:cs="Times New Roman"/>
          <w:sz w:val="24"/>
          <w:szCs w:val="24"/>
        </w:rPr>
        <w:t>Ra</w:t>
      </w:r>
      <w:r w:rsidR="002A0BAA" w:rsidRPr="003026B7">
        <w:rPr>
          <w:rFonts w:ascii="Times New Roman" w:hAnsi="Times New Roman" w:cs="Times New Roman"/>
          <w:sz w:val="24"/>
          <w:szCs w:val="24"/>
        </w:rPr>
        <w:t>s</w:t>
      </w:r>
      <w:r w:rsidR="00BB379C" w:rsidRPr="003026B7">
        <w:rPr>
          <w:rFonts w:ascii="Times New Roman" w:hAnsi="Times New Roman" w:cs="Times New Roman"/>
          <w:sz w:val="24"/>
          <w:szCs w:val="24"/>
        </w:rPr>
        <w:t>hodi za intelektualne i osobne usluge</w:t>
      </w:r>
      <w:r w:rsidR="003026B7" w:rsidRPr="003026B7">
        <w:rPr>
          <w:rFonts w:ascii="Times New Roman" w:hAnsi="Times New Roman" w:cs="Times New Roman"/>
          <w:sz w:val="24"/>
          <w:szCs w:val="24"/>
        </w:rPr>
        <w:t xml:space="preserve"> realizirani su u iznosu od 127.806,71 eura i bilježe porast od 44,7% ( vanjski suradnici s kojima imamo sklopljen ugovor o djelu ).</w:t>
      </w:r>
      <w:r w:rsidR="00E70981">
        <w:rPr>
          <w:rFonts w:ascii="Times New Roman" w:hAnsi="Times New Roman" w:cs="Times New Roman"/>
          <w:sz w:val="24"/>
          <w:szCs w:val="24"/>
        </w:rPr>
        <w:t>Porasli su i rashodi za računalne usluge 21,2%</w:t>
      </w:r>
      <w:r w:rsidR="0089622B">
        <w:rPr>
          <w:rFonts w:ascii="Times New Roman" w:hAnsi="Times New Roman" w:cs="Times New Roman"/>
          <w:sz w:val="24"/>
          <w:szCs w:val="24"/>
        </w:rPr>
        <w:t xml:space="preserve"> ( izrada i održavanje mrežnih stranica, najam opreme).</w:t>
      </w:r>
    </w:p>
    <w:p w14:paraId="472D06DD" w14:textId="77777777" w:rsidR="003026B7" w:rsidRPr="005F6354" w:rsidRDefault="003026B7" w:rsidP="005F6354">
      <w:pPr>
        <w:pStyle w:val="Bezproreda"/>
        <w:ind w:left="720"/>
        <w:jc w:val="both"/>
        <w:rPr>
          <w:rFonts w:ascii="Times New Roman" w:hAnsi="Times New Roman" w:cs="Times New Roman"/>
          <w:color w:val="000000" w:themeColor="text1"/>
          <w:sz w:val="24"/>
          <w:szCs w:val="24"/>
        </w:rPr>
      </w:pPr>
    </w:p>
    <w:p w14:paraId="0168CAA4" w14:textId="77777777" w:rsidR="00BB379C" w:rsidRDefault="00BB379C" w:rsidP="00CA1662">
      <w:pPr>
        <w:pStyle w:val="Bezproreda"/>
        <w:ind w:left="720"/>
        <w:jc w:val="both"/>
        <w:rPr>
          <w:rFonts w:ascii="Times New Roman" w:hAnsi="Times New Roman" w:cs="Times New Roman"/>
          <w:color w:val="000000" w:themeColor="text1"/>
          <w:sz w:val="24"/>
          <w:szCs w:val="24"/>
        </w:rPr>
      </w:pPr>
    </w:p>
    <w:p w14:paraId="35845D26" w14:textId="379268B2" w:rsidR="00CC333D" w:rsidRDefault="00000000" w:rsidP="00CA1662">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Ostali nespomenuti rashodi poslovanja (šifra 329) realizirani su u iznosu od 171.971,10 eura, odnosno 276,6 % realizacije prethodnog izvještajnog razdoblja</w:t>
      </w:r>
      <w:r w:rsidR="003026B7">
        <w:rPr>
          <w:rFonts w:ascii="Times New Roman" w:hAnsi="Times New Roman" w:cs="Times New Roman"/>
          <w:color w:val="000000" w:themeColor="text1"/>
          <w:sz w:val="24"/>
          <w:szCs w:val="24"/>
        </w:rPr>
        <w:t xml:space="preserve">. </w:t>
      </w:r>
      <w:r w:rsidR="00AA6770">
        <w:rPr>
          <w:rFonts w:ascii="Times New Roman" w:hAnsi="Times New Roman" w:cs="Times New Roman"/>
          <w:color w:val="000000" w:themeColor="text1"/>
          <w:sz w:val="24"/>
          <w:szCs w:val="24"/>
        </w:rPr>
        <w:t>Najveći rashodi unutar skupine su troškovi sudskih postupaka u iznosu od 64.846,00 eura ( naplata troškova sudskih postupaka proizašlih iz radnih sporova koji sjedaju na naplatu sukladno Ovršnom Zakonu) kojih nije bilo u izvještajnom razdoblju prethodne godine.</w:t>
      </w:r>
    </w:p>
    <w:p w14:paraId="7BBC5822" w14:textId="77777777" w:rsidR="00AA6770" w:rsidRDefault="00AA6770" w:rsidP="00AA6770">
      <w:pPr>
        <w:pStyle w:val="Bezproreda"/>
        <w:jc w:val="both"/>
        <w:rPr>
          <w:rFonts w:ascii="Times New Roman" w:hAnsi="Times New Roman" w:cs="Times New Roman"/>
          <w:color w:val="000000" w:themeColor="text1"/>
          <w:sz w:val="24"/>
          <w:szCs w:val="24"/>
        </w:rPr>
      </w:pPr>
    </w:p>
    <w:p w14:paraId="31F63806" w14:textId="77777777" w:rsidR="00CC333D" w:rsidRDefault="00CC333D">
      <w:pPr>
        <w:pStyle w:val="Bezproreda"/>
        <w:ind w:left="720"/>
        <w:jc w:val="both"/>
        <w:rPr>
          <w:rFonts w:ascii="Times New Roman" w:hAnsi="Times New Roman" w:cs="Times New Roman"/>
          <w:color w:val="000000" w:themeColor="text1"/>
          <w:sz w:val="24"/>
          <w:szCs w:val="24"/>
        </w:rPr>
      </w:pPr>
    </w:p>
    <w:p w14:paraId="4DD00104" w14:textId="434FCDD7" w:rsidR="00CC333D" w:rsidRDefault="00000000">
      <w:pPr>
        <w:pStyle w:val="Bezproreda"/>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Financijski rashodi (šifra 34) iskazani su u iznosu od 44.263,21 eura</w:t>
      </w:r>
      <w:r w:rsidR="00695B2D">
        <w:rPr>
          <w:rFonts w:ascii="Times New Roman" w:hAnsi="Times New Roman" w:cs="Times New Roman"/>
          <w:color w:val="000000" w:themeColor="text1"/>
          <w:sz w:val="24"/>
          <w:szCs w:val="24"/>
        </w:rPr>
        <w:t>, 346,4% realizacije prethodne godine</w:t>
      </w:r>
      <w:r>
        <w:rPr>
          <w:rFonts w:ascii="Times New Roman" w:hAnsi="Times New Roman" w:cs="Times New Roman"/>
          <w:color w:val="000000" w:themeColor="text1"/>
          <w:sz w:val="24"/>
          <w:szCs w:val="24"/>
        </w:rPr>
        <w:t xml:space="preserve"> , a  u naravi se odnose na kamatu po dugoročnom investicijskom kreditu u iznosu od 9.976,34 eura (šifra 3423) i bankarske usluge i usluge platnog prometa u iznosu od 8.301,08 eura (šifra 3431) i ostalih zateznih kamata na poreze, doprinose u iznosu od 25.963,33 eura (šifra 3433)</w:t>
      </w:r>
      <w:r w:rsidR="00C74BA6">
        <w:rPr>
          <w:rFonts w:ascii="Times New Roman" w:hAnsi="Times New Roman" w:cs="Times New Roman"/>
          <w:color w:val="000000" w:themeColor="text1"/>
          <w:sz w:val="24"/>
          <w:szCs w:val="24"/>
        </w:rPr>
        <w:t xml:space="preserve"> a koje su naplaćene sukladno Ovršnom Zakonu zbog pravomoćnosti ovrha uslijed nepoštivanja obveznih odnosa proizašlih iz ugovornih odnosa sa dobavljačima i sudskih presuda u području radnih sporova.</w:t>
      </w:r>
    </w:p>
    <w:p w14:paraId="3FC3D131" w14:textId="77777777" w:rsidR="00CC333D" w:rsidRDefault="00CC333D">
      <w:pPr>
        <w:pStyle w:val="Bezproreda"/>
        <w:jc w:val="both"/>
        <w:rPr>
          <w:rFonts w:ascii="Times New Roman" w:hAnsi="Times New Roman" w:cs="Times New Roman"/>
          <w:i/>
          <w:color w:val="000000" w:themeColor="text1"/>
          <w:sz w:val="24"/>
          <w:szCs w:val="24"/>
        </w:rPr>
      </w:pPr>
    </w:p>
    <w:p w14:paraId="563D1D5D" w14:textId="07558DF2" w:rsidR="00CC333D" w:rsidRDefault="00000000">
      <w:pPr>
        <w:pStyle w:val="Bezproreda"/>
        <w:numPr>
          <w:ilvl w:val="0"/>
          <w:numId w:val="2"/>
        </w:numPr>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Ostali rashodi iskazani su u iznosu od 102,56 eura (šifra 3833) u naravi se odnose n</w:t>
      </w:r>
      <w:r w:rsidR="00C74BA6">
        <w:rPr>
          <w:rFonts w:ascii="Times New Roman" w:hAnsi="Times New Roman" w:cs="Times New Roman"/>
          <w:iCs/>
          <w:color w:val="000000" w:themeColor="text1"/>
          <w:sz w:val="24"/>
          <w:szCs w:val="24"/>
        </w:rPr>
        <w:t>a kazne i ostale naknade štete.</w:t>
      </w:r>
    </w:p>
    <w:p w14:paraId="019C6D74" w14:textId="77777777" w:rsidR="00CC333D" w:rsidRDefault="00CC333D">
      <w:pPr>
        <w:pStyle w:val="Bezproreda"/>
        <w:jc w:val="both"/>
        <w:rPr>
          <w:rFonts w:ascii="Times New Roman" w:hAnsi="Times New Roman" w:cs="Times New Roman"/>
          <w:i/>
          <w:color w:val="000000" w:themeColor="text1"/>
          <w:sz w:val="24"/>
          <w:szCs w:val="24"/>
        </w:rPr>
      </w:pPr>
    </w:p>
    <w:p w14:paraId="691FA77F" w14:textId="72CBA640" w:rsidR="00CC333D"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Rashodi za nabavu nefinancijske imovine</w:t>
      </w:r>
      <w:r w:rsidR="00695B2D">
        <w:rPr>
          <w:rFonts w:ascii="Times New Roman" w:hAnsi="Times New Roman" w:cs="Times New Roman"/>
          <w:sz w:val="24"/>
          <w:szCs w:val="24"/>
        </w:rPr>
        <w:t xml:space="preserve"> ( šifra 4) </w:t>
      </w:r>
      <w:r>
        <w:rPr>
          <w:rFonts w:ascii="Times New Roman" w:hAnsi="Times New Roman" w:cs="Times New Roman"/>
          <w:sz w:val="24"/>
          <w:szCs w:val="24"/>
        </w:rPr>
        <w:t xml:space="preserve"> u izvještajnom razdoblju realizirani su u iznosu od 300.063,27 eura,</w:t>
      </w:r>
      <w:r w:rsidR="00695B2D">
        <w:rPr>
          <w:rFonts w:ascii="Times New Roman" w:hAnsi="Times New Roman" w:cs="Times New Roman"/>
          <w:sz w:val="24"/>
          <w:szCs w:val="24"/>
        </w:rPr>
        <w:t xml:space="preserve"> 75,6% realizacije prethodne godine</w:t>
      </w:r>
      <w:r>
        <w:rPr>
          <w:rFonts w:ascii="Times New Roman" w:hAnsi="Times New Roman" w:cs="Times New Roman"/>
          <w:sz w:val="24"/>
          <w:szCs w:val="24"/>
        </w:rPr>
        <w:t xml:space="preserve"> a sastoje se od:</w:t>
      </w:r>
    </w:p>
    <w:p w14:paraId="7E69A15B" w14:textId="77777777" w:rsidR="00CC333D" w:rsidRDefault="00CC333D" w:rsidP="00943837">
      <w:pPr>
        <w:pStyle w:val="Bezproreda"/>
        <w:jc w:val="both"/>
        <w:rPr>
          <w:rFonts w:ascii="Times New Roman" w:hAnsi="Times New Roman" w:cs="Times New Roman"/>
          <w:sz w:val="24"/>
          <w:szCs w:val="24"/>
        </w:rPr>
      </w:pPr>
    </w:p>
    <w:p w14:paraId="35600CC8" w14:textId="77777777" w:rsidR="00CC333D" w:rsidRDefault="00000000" w:rsidP="00943837">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građevinski objekti  (šifra 4214) u iznosu od 4.253,88 eura a u naravi se odnose na izvedbu priključka fekalne odvodnje ambulante Zemunik,</w:t>
      </w:r>
    </w:p>
    <w:p w14:paraId="40D71DB6" w14:textId="0E1549D2" w:rsidR="00CC333D" w:rsidRDefault="00000000" w:rsidP="00943837">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računala i računalna oprema i uredski namještaj u iznosu od 50.392,89 eura (šifra 4221) od čega je financirano decentraliziranim sredstvima nabava uredskog namještaja</w:t>
      </w:r>
      <w:r w:rsidR="00715FD2">
        <w:rPr>
          <w:rFonts w:ascii="Times New Roman" w:hAnsi="Times New Roman" w:cs="Times New Roman"/>
          <w:sz w:val="24"/>
          <w:szCs w:val="24"/>
        </w:rPr>
        <w:t xml:space="preserve"> </w:t>
      </w:r>
      <w:r>
        <w:rPr>
          <w:rFonts w:ascii="Times New Roman" w:hAnsi="Times New Roman" w:cs="Times New Roman"/>
          <w:sz w:val="24"/>
          <w:szCs w:val="24"/>
        </w:rPr>
        <w:t xml:space="preserve"> u iznosu od 25.167,00 eura ( 18 kom radnih stolova, 30 kom uredskih stolica, 40 kom stolica za pacijente u ordinacijama,39 kom stolica / klupa u čekaonicama, 8 kom ormara ) te nabava računala i računalne opreme ( kompleti sa pisačima ,monitorima, usluga konfiguracije) i to 12 kom/set u iznosu od 15.000.00 eura također financiranih decentraliziranim sredstvima. Računala i računalna oprema za opremanje turističkih ambulanti financirana su od strane Ministarstva zdravstva ( temeljem ugovora br.3/2024 _TA o dodjeli potpore male vrijednosti za opremanje turističkih ambulanti na području Zadarske  ) u iznosu od 5.537,03 eura,</w:t>
      </w:r>
    </w:p>
    <w:p w14:paraId="179BACC8" w14:textId="77777777" w:rsidR="00CC333D" w:rsidRDefault="00000000" w:rsidP="00943837">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opreme za održavanje i zaštitu u iznosu od 20.217,75 eura (šifra 4223) od čega je iznos od 17.492,75 eura plaćeno decentraliziranim sredstvima za nabavu 20 klima,</w:t>
      </w:r>
    </w:p>
    <w:p w14:paraId="1A9B2EAA" w14:textId="78EA02A6" w:rsidR="00CC333D" w:rsidRPr="00B17268" w:rsidRDefault="00000000" w:rsidP="00943837">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medicinske i laboratorijske opreme u iznosu od 167.654,33 eura</w:t>
      </w:r>
      <w:r w:rsidR="00715FD2">
        <w:rPr>
          <w:rFonts w:ascii="Times New Roman" w:hAnsi="Times New Roman" w:cs="Times New Roman"/>
          <w:sz w:val="24"/>
          <w:szCs w:val="24"/>
        </w:rPr>
        <w:t xml:space="preserve"> te bilježi porast od 81.4 %</w:t>
      </w:r>
      <w:r>
        <w:rPr>
          <w:rFonts w:ascii="Times New Roman" w:hAnsi="Times New Roman" w:cs="Times New Roman"/>
          <w:sz w:val="24"/>
          <w:szCs w:val="24"/>
        </w:rPr>
        <w:t xml:space="preserve"> (šifra 4224) u naravi se radi o nabavi: 3 kom autoklava, 1 kom ginekološkog ultrazvuka , 1 kom analizatora za ubrzanu sedimentaciju eritrocita plaćeno decentraliziranim sredstvima u iznosu od 93.473.75 eura , dok je od strane Ministarstva zdravstva ( temeljem ugovora br.3/2024_TA o dodjeli potpore male vrijednosti za opremanje turističkih ambulanti) financirana nabava 6 kom defibrilatora, 6 pulsnih oksimetara, 6 EKG uređaja i ostale </w:t>
      </w:r>
      <w:r w:rsidRPr="00B17268">
        <w:rPr>
          <w:rFonts w:ascii="Times New Roman" w:hAnsi="Times New Roman" w:cs="Times New Roman"/>
          <w:sz w:val="24"/>
          <w:szCs w:val="24"/>
        </w:rPr>
        <w:t>medicinske  opreme u iznosu od 44.092,50 eura .</w:t>
      </w:r>
    </w:p>
    <w:p w14:paraId="4E59EABA" w14:textId="6C5077F1" w:rsidR="00CC333D" w:rsidRDefault="00000000" w:rsidP="00943837">
      <w:pPr>
        <w:pStyle w:val="Bezproreda"/>
        <w:numPr>
          <w:ilvl w:val="0"/>
          <w:numId w:val="2"/>
        </w:numPr>
        <w:jc w:val="both"/>
        <w:rPr>
          <w:rFonts w:ascii="Times New Roman" w:hAnsi="Times New Roman" w:cs="Times New Roman"/>
          <w:sz w:val="24"/>
          <w:szCs w:val="24"/>
        </w:rPr>
      </w:pPr>
      <w:r>
        <w:rPr>
          <w:rFonts w:ascii="Times New Roman" w:hAnsi="Times New Roman" w:cs="Times New Roman"/>
          <w:sz w:val="24"/>
          <w:szCs w:val="24"/>
        </w:rPr>
        <w:t>instrumenata, uređaja i strojeva</w:t>
      </w:r>
      <w:r w:rsidR="009E7E91">
        <w:rPr>
          <w:rFonts w:ascii="Times New Roman" w:hAnsi="Times New Roman" w:cs="Times New Roman"/>
          <w:sz w:val="24"/>
          <w:szCs w:val="24"/>
        </w:rPr>
        <w:t xml:space="preserve"> (šifra 4225)</w:t>
      </w:r>
      <w:r>
        <w:rPr>
          <w:rFonts w:ascii="Times New Roman" w:hAnsi="Times New Roman" w:cs="Times New Roman"/>
          <w:sz w:val="24"/>
          <w:szCs w:val="24"/>
        </w:rPr>
        <w:t xml:space="preserve"> u iznosu od 3.356,81 eura a u naravi se radi o hladnjacima za ambulante i</w:t>
      </w:r>
      <w:r w:rsidR="00E50B21">
        <w:rPr>
          <w:rFonts w:ascii="Times New Roman" w:hAnsi="Times New Roman" w:cs="Times New Roman"/>
          <w:sz w:val="24"/>
          <w:szCs w:val="24"/>
        </w:rPr>
        <w:t xml:space="preserve"> o 1 (jednoj )</w:t>
      </w:r>
      <w:r>
        <w:rPr>
          <w:rFonts w:ascii="Times New Roman" w:hAnsi="Times New Roman" w:cs="Times New Roman"/>
          <w:sz w:val="24"/>
          <w:szCs w:val="24"/>
        </w:rPr>
        <w:t xml:space="preserve"> rampi.</w:t>
      </w:r>
    </w:p>
    <w:p w14:paraId="6A8EB989" w14:textId="77777777" w:rsidR="00CC333D" w:rsidRDefault="00000000" w:rsidP="00943837">
      <w:pPr>
        <w:pStyle w:val="Bezproreda"/>
        <w:numPr>
          <w:ilvl w:val="0"/>
          <w:numId w:val="2"/>
        </w:numPr>
        <w:jc w:val="both"/>
        <w:rPr>
          <w:rFonts w:ascii="Times New Roman" w:hAnsi="Times New Roman" w:cs="Times New Roman"/>
          <w:sz w:val="24"/>
          <w:szCs w:val="24"/>
        </w:rPr>
      </w:pPr>
      <w:r>
        <w:rPr>
          <w:rFonts w:ascii="Times New Roman" w:hAnsi="Times New Roman"/>
          <w:color w:val="000000"/>
          <w:sz w:val="24"/>
          <w:szCs w:val="24"/>
        </w:rPr>
        <w:t>ulaganje u računalne programe (šifra 4262) u naravi se odnosi na ulaganje u aplikacije za računovodstvo u iznosu od 23.460,00 eura plaćeno decentraliziranim sredstvima,</w:t>
      </w:r>
    </w:p>
    <w:p w14:paraId="0070A00E" w14:textId="77777777" w:rsidR="00CC333D" w:rsidRDefault="00000000" w:rsidP="00943837">
      <w:pPr>
        <w:pStyle w:val="Bezproreda"/>
        <w:numPr>
          <w:ilvl w:val="0"/>
          <w:numId w:val="2"/>
        </w:numPr>
        <w:jc w:val="both"/>
        <w:rPr>
          <w:rFonts w:ascii="Times New Roman" w:hAnsi="Times New Roman"/>
          <w:sz w:val="24"/>
          <w:szCs w:val="24"/>
        </w:rPr>
      </w:pPr>
      <w:r>
        <w:rPr>
          <w:rFonts w:ascii="Times New Roman" w:hAnsi="Times New Roman"/>
          <w:color w:val="000000"/>
          <w:sz w:val="24"/>
          <w:szCs w:val="24"/>
        </w:rPr>
        <w:t xml:space="preserve">izrada projektne dokumentacije (šifra 4264) u iznosu od </w:t>
      </w:r>
      <w:r>
        <w:rPr>
          <w:rFonts w:ascii="Times New Roman" w:hAnsi="Times New Roman"/>
          <w:sz w:val="24"/>
          <w:szCs w:val="24"/>
        </w:rPr>
        <w:t>3.875,00 eura a u naravi se odnosi na elektrotehnički projekt sunčane elektrane za ambulante u Neviđanima, Ražancu i Starigradu.</w:t>
      </w:r>
    </w:p>
    <w:p w14:paraId="7BB8E00C" w14:textId="3FD8E9D6" w:rsidR="00CC333D" w:rsidRDefault="00000000" w:rsidP="00943837">
      <w:pPr>
        <w:pStyle w:val="Bezproreda"/>
        <w:numPr>
          <w:ilvl w:val="0"/>
          <w:numId w:val="2"/>
        </w:numPr>
        <w:jc w:val="both"/>
        <w:rPr>
          <w:rFonts w:ascii="Times New Roman" w:hAnsi="Times New Roman"/>
          <w:color w:val="000000"/>
          <w:sz w:val="24"/>
          <w:szCs w:val="24"/>
        </w:rPr>
      </w:pPr>
      <w:r>
        <w:rPr>
          <w:rFonts w:ascii="Times New Roman" w:hAnsi="Times New Roman"/>
          <w:color w:val="000000"/>
          <w:sz w:val="24"/>
          <w:szCs w:val="24"/>
        </w:rPr>
        <w:t>dodatna ulaganja u građevinske objekte (šifra 4511) u naravi se odnosi na dodatna ulaganja u ambulantu Sukošan ( struganje , gletanje, bojanje fasadnih zidova i unutarnjih zidova , demontaža i ugradnja novih prozora, grilja i vrata) i u ambulantu Benkovac ( gletanje i bojanje zidova i kabliranje 2 ordinacije) u iznosu od 19.5132,50 eura financiranih decentraliziranim sredstvima</w:t>
      </w:r>
      <w:r w:rsidR="00B0147F">
        <w:rPr>
          <w:rFonts w:ascii="Times New Roman" w:hAnsi="Times New Roman"/>
          <w:color w:val="000000"/>
          <w:sz w:val="24"/>
          <w:szCs w:val="24"/>
        </w:rPr>
        <w:t>, 12,2</w:t>
      </w:r>
      <w:r w:rsidR="009247B2">
        <w:rPr>
          <w:rFonts w:ascii="Times New Roman" w:hAnsi="Times New Roman"/>
          <w:color w:val="000000"/>
          <w:sz w:val="24"/>
          <w:szCs w:val="24"/>
        </w:rPr>
        <w:t xml:space="preserve"> %</w:t>
      </w:r>
      <w:r w:rsidR="00B0147F">
        <w:rPr>
          <w:rFonts w:ascii="Times New Roman" w:hAnsi="Times New Roman"/>
          <w:color w:val="000000"/>
          <w:sz w:val="24"/>
          <w:szCs w:val="24"/>
        </w:rPr>
        <w:t xml:space="preserve"> realizacije prethodnog izvještajnog razdoblja.</w:t>
      </w:r>
    </w:p>
    <w:p w14:paraId="59421F34" w14:textId="77777777" w:rsidR="002350A0" w:rsidRDefault="002350A0" w:rsidP="00943837">
      <w:pPr>
        <w:pStyle w:val="Bezproreda"/>
        <w:rPr>
          <w:rFonts w:ascii="Times New Roman" w:hAnsi="Times New Roman"/>
          <w:color w:val="000000"/>
          <w:sz w:val="24"/>
          <w:szCs w:val="24"/>
        </w:rPr>
      </w:pPr>
    </w:p>
    <w:p w14:paraId="10A6093B" w14:textId="77777777" w:rsidR="008B67CA" w:rsidRDefault="008B67CA" w:rsidP="002350A0">
      <w:pPr>
        <w:pStyle w:val="Bezproreda"/>
        <w:rPr>
          <w:rFonts w:ascii="Times New Roman" w:hAnsi="Times New Roman"/>
          <w:color w:val="000000"/>
          <w:sz w:val="24"/>
          <w:szCs w:val="24"/>
          <w:u w:val="single"/>
        </w:rPr>
      </w:pPr>
    </w:p>
    <w:p w14:paraId="602BFDC6" w14:textId="77777777" w:rsidR="006556EC" w:rsidRDefault="006556EC" w:rsidP="002350A0">
      <w:pPr>
        <w:pStyle w:val="Bezproreda"/>
        <w:rPr>
          <w:rFonts w:ascii="Times New Roman" w:hAnsi="Times New Roman"/>
          <w:color w:val="000000"/>
          <w:sz w:val="24"/>
          <w:szCs w:val="24"/>
          <w:u w:val="single"/>
        </w:rPr>
      </w:pPr>
    </w:p>
    <w:p w14:paraId="0D6E0D54" w14:textId="1671390B" w:rsidR="002350A0" w:rsidRDefault="002350A0" w:rsidP="00943837">
      <w:pPr>
        <w:pStyle w:val="Bezproreda"/>
        <w:jc w:val="both"/>
        <w:rPr>
          <w:rFonts w:ascii="Times New Roman" w:hAnsi="Times New Roman"/>
          <w:color w:val="000000"/>
          <w:sz w:val="24"/>
          <w:szCs w:val="24"/>
        </w:rPr>
      </w:pPr>
      <w:r w:rsidRPr="0051072F">
        <w:rPr>
          <w:rFonts w:ascii="Times New Roman" w:hAnsi="Times New Roman"/>
          <w:color w:val="000000"/>
          <w:sz w:val="24"/>
          <w:szCs w:val="24"/>
          <w:u w:val="single"/>
        </w:rPr>
        <w:t>Izdaci</w:t>
      </w:r>
      <w:r>
        <w:rPr>
          <w:rFonts w:ascii="Times New Roman" w:hAnsi="Times New Roman"/>
          <w:color w:val="000000"/>
          <w:sz w:val="24"/>
          <w:szCs w:val="24"/>
        </w:rPr>
        <w:t xml:space="preserve"> za financijsku imovinu i otplatu zajmova ( šifra 5 ) realizirani su i iznosu od </w:t>
      </w:r>
      <w:r w:rsidR="00603A17">
        <w:rPr>
          <w:rFonts w:ascii="Times New Roman" w:hAnsi="Times New Roman"/>
          <w:color w:val="000000"/>
          <w:sz w:val="24"/>
          <w:szCs w:val="24"/>
        </w:rPr>
        <w:t>133.242,41 eura a u naravi se odnose na otplatu četiri rate glavnice kredita podignutog kod ERSTE banke za preseljenje službi Doma zdravlja Zadarske županije u prostore Poliklinike OB Zadar.</w:t>
      </w:r>
    </w:p>
    <w:p w14:paraId="7E781794" w14:textId="77777777" w:rsidR="00CC333D" w:rsidRDefault="00CC333D">
      <w:pPr>
        <w:pStyle w:val="Bezproreda"/>
        <w:jc w:val="both"/>
        <w:rPr>
          <w:rFonts w:ascii="Times New Roman" w:hAnsi="Times New Roman" w:cs="Times New Roman"/>
          <w:sz w:val="24"/>
          <w:szCs w:val="24"/>
          <w:u w:val="single"/>
        </w:rPr>
      </w:pPr>
    </w:p>
    <w:p w14:paraId="602D91CF"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Ukupan višak  prihoda i primitaka za izvještajno razdoblje iznosi 240.100,95 eura (šifra X005), a uključuje sljedeće: višak prihoda poslovanja u iznosu od 672.780,07 eura (šifra X001), manjak prihoda od nefinancijske imovine u iznosu od 299.436,71 eura  (šifra Y002) i manjak  primitaka od financijske imovine i zaduživanja u iznosu od 133.242,41 eura (šifra Y003).</w:t>
      </w:r>
    </w:p>
    <w:p w14:paraId="4F3F9494"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Manjak prihoda i primitaka preneseni iznosi 937.957,81 eura (šifra 9222-9221), umanjen za iznos viška  prihoda i primitaka promatranog izvještajnog razdoblja u iznosu od 240.100,95 eura (šifra X005) rezultira manjkom prihoda i primitaka za pokriće u sljedećem razdoblju (šifra Y006) u iznosu od 697.856,86 eura.</w:t>
      </w:r>
    </w:p>
    <w:p w14:paraId="5533DE8F" w14:textId="77777777" w:rsidR="00CC333D" w:rsidRDefault="00CC333D">
      <w:pPr>
        <w:pStyle w:val="Bezproreda"/>
        <w:rPr>
          <w:rFonts w:ascii="Times New Roman" w:hAnsi="Times New Roman" w:cs="Times New Roman"/>
          <w:sz w:val="24"/>
          <w:szCs w:val="24"/>
        </w:rPr>
      </w:pPr>
    </w:p>
    <w:p w14:paraId="41EE0A43" w14:textId="77777777" w:rsidR="00CC333D" w:rsidRDefault="00CC333D">
      <w:pPr>
        <w:pStyle w:val="Bezproreda"/>
        <w:rPr>
          <w:rFonts w:ascii="Times New Roman" w:hAnsi="Times New Roman" w:cs="Times New Roman"/>
          <w:sz w:val="24"/>
          <w:szCs w:val="24"/>
        </w:rPr>
      </w:pPr>
    </w:p>
    <w:p w14:paraId="640C7EE9" w14:textId="77777777" w:rsidR="00CC333D" w:rsidRDefault="00CC333D">
      <w:pPr>
        <w:pStyle w:val="Bezproreda"/>
        <w:rPr>
          <w:rFonts w:ascii="Times New Roman" w:hAnsi="Times New Roman" w:cs="Times New Roman"/>
          <w:sz w:val="24"/>
          <w:szCs w:val="24"/>
        </w:rPr>
      </w:pPr>
    </w:p>
    <w:p w14:paraId="74C48DA1" w14:textId="77777777" w:rsidR="0042302B" w:rsidRDefault="0042302B">
      <w:pPr>
        <w:pStyle w:val="Bezproreda"/>
        <w:jc w:val="center"/>
        <w:rPr>
          <w:rFonts w:ascii="Times New Roman" w:hAnsi="Times New Roman" w:cs="Times New Roman"/>
          <w:b/>
          <w:sz w:val="24"/>
          <w:szCs w:val="24"/>
        </w:rPr>
      </w:pPr>
    </w:p>
    <w:p w14:paraId="4E6D90ED" w14:textId="2EAE6E27" w:rsidR="00CC333D" w:rsidRDefault="00000000">
      <w:pPr>
        <w:pStyle w:val="Bezproreda"/>
        <w:jc w:val="center"/>
        <w:rPr>
          <w:rFonts w:ascii="Times New Roman" w:hAnsi="Times New Roman" w:cs="Times New Roman"/>
          <w:b/>
          <w:sz w:val="24"/>
          <w:szCs w:val="24"/>
        </w:rPr>
      </w:pPr>
      <w:r>
        <w:rPr>
          <w:rFonts w:ascii="Times New Roman" w:hAnsi="Times New Roman" w:cs="Times New Roman"/>
          <w:b/>
          <w:sz w:val="24"/>
          <w:szCs w:val="24"/>
        </w:rPr>
        <w:t>BILANCA</w:t>
      </w:r>
    </w:p>
    <w:p w14:paraId="5C5DBD98" w14:textId="77777777" w:rsidR="00CC333D" w:rsidRDefault="00000000">
      <w:pPr>
        <w:pStyle w:val="Bezproreda"/>
        <w:jc w:val="center"/>
        <w:rPr>
          <w:rFonts w:ascii="Times New Roman" w:hAnsi="Times New Roman" w:cs="Times New Roman"/>
          <w:b/>
          <w:sz w:val="24"/>
          <w:szCs w:val="24"/>
        </w:rPr>
      </w:pPr>
      <w:r>
        <w:rPr>
          <w:rFonts w:ascii="Times New Roman" w:hAnsi="Times New Roman" w:cs="Times New Roman"/>
          <w:b/>
          <w:sz w:val="24"/>
          <w:szCs w:val="24"/>
        </w:rPr>
        <w:t>(OBRAZAC BIL)</w:t>
      </w:r>
    </w:p>
    <w:p w14:paraId="133F66D5" w14:textId="77777777" w:rsidR="00CC333D" w:rsidRDefault="00CC333D">
      <w:pPr>
        <w:pStyle w:val="Bezproreda"/>
        <w:rPr>
          <w:sz w:val="24"/>
          <w:szCs w:val="24"/>
        </w:rPr>
      </w:pPr>
    </w:p>
    <w:p w14:paraId="0258C177"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Bilanca predstavlja pregled imovine, obveza i vlastitih izvora. Stanje imovine, obveza i vlastitih izvora na dan 31.12.2024.g. iznosi 9.322.525,69 eura ; a u odnosu na stanje na početku izvještajnog razdoblja bilježi smanjenje za 3,9 % uslijed provođenja ispravka vrijednosti potraživanja u iznosu od 35.486,59 eura.</w:t>
      </w:r>
    </w:p>
    <w:p w14:paraId="22029BAB"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Imovina (šifra B001) se sastoji od: nefinancijske imovine (šifra B002) u iznosu od 8.572.368,01 eura  i financijske imovine (šifra 1) u iznosu od 750.157,68 eura. </w:t>
      </w:r>
    </w:p>
    <w:p w14:paraId="591AB3C2" w14:textId="77777777" w:rsidR="00CC333D" w:rsidRDefault="00CC333D">
      <w:pPr>
        <w:pStyle w:val="Bezproreda"/>
        <w:jc w:val="both"/>
        <w:rPr>
          <w:rFonts w:ascii="Times New Roman" w:hAnsi="Times New Roman" w:cs="Times New Roman"/>
          <w:sz w:val="24"/>
          <w:szCs w:val="24"/>
        </w:rPr>
      </w:pPr>
    </w:p>
    <w:p w14:paraId="706EF2A3" w14:textId="77777777" w:rsidR="00CC333D" w:rsidRDefault="00000000">
      <w:pPr>
        <w:pStyle w:val="Bezproreda"/>
        <w:rPr>
          <w:rFonts w:ascii="Times New Roman" w:hAnsi="Times New Roman" w:cs="Times New Roman"/>
          <w:sz w:val="24"/>
          <w:szCs w:val="24"/>
        </w:rPr>
      </w:pPr>
      <w:r>
        <w:rPr>
          <w:rFonts w:ascii="Times New Roman" w:hAnsi="Times New Roman" w:cs="Times New Roman"/>
          <w:sz w:val="24"/>
          <w:szCs w:val="24"/>
        </w:rPr>
        <w:t xml:space="preserve">Nefinancijsku imovinu (šifra B002) čine: </w:t>
      </w:r>
    </w:p>
    <w:p w14:paraId="6B5F5D42" w14:textId="77777777" w:rsidR="00CC333D" w:rsidRDefault="00000000">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neproizvedena dugotrajna imovina (šifra 01) u iznosu od 1.661.870,97 eura koja se u naravi odnosi na građevinska i ne-građevinska zemljišta te ostala prava odnosno ulaganja na tuđoj imovini u novoj Poliklinici Opće bolnice Zadar,</w:t>
      </w:r>
    </w:p>
    <w:p w14:paraId="4489AB88" w14:textId="77777777" w:rsidR="00CC333D" w:rsidRDefault="00000000">
      <w:pPr>
        <w:pStyle w:val="Odlomakpopisa"/>
        <w:numPr>
          <w:ilvl w:val="0"/>
          <w:numId w:val="29"/>
        </w:numPr>
        <w:jc w:val="both"/>
        <w:rPr>
          <w:rFonts w:ascii="Times New Roman" w:hAnsi="Times New Roman" w:cs="Times New Roman"/>
          <w:sz w:val="24"/>
          <w:szCs w:val="24"/>
        </w:rPr>
      </w:pPr>
      <w:r>
        <w:rPr>
          <w:rFonts w:ascii="Times New Roman" w:hAnsi="Times New Roman" w:cs="Times New Roman"/>
          <w:sz w:val="24"/>
          <w:szCs w:val="24"/>
        </w:rPr>
        <w:t>proizvedena dugotrajna imovina (šifra 02) u iznosu od 6.866.790,55 eura, u naravi se odnosi na građevinske objekte - ambulante, stambene objekte, skladišta i garaže, osobne automobile koje koriste patronaža i kućna njega te različite vrste postrojenja te medicinske i ne-medicinske opreme,</w:t>
      </w:r>
    </w:p>
    <w:p w14:paraId="7086524D" w14:textId="77777777" w:rsidR="00CC333D" w:rsidRDefault="00000000">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proizvedena kratkotrajna imovina (šifra 06) u iznosu od 43.706,49 eura , od čega je 31.232,69 eura zaliha lijekova i potrošnog medicinskog materijala ( lijekova 3.659,07 eura, laboratorijskog materijala 2.429,99 eura , sanitetskog materijala 10.143,44 eura i zubnog materijala 15.000,19 eura), te 12.473,80 eura zaliha ostalih materijala za redovne potrebe poslovanja ( potrošnog uredskog materijala 4.939,27 eura, potrošnog materijala za čišćenje 965,56 eura i zaštitne radne odjeće i ostalih materijala u iznosu od 6.568,97 eura).</w:t>
      </w:r>
    </w:p>
    <w:p w14:paraId="6C104244" w14:textId="77777777" w:rsidR="00CC333D" w:rsidRDefault="00000000">
      <w:pPr>
        <w:pStyle w:val="Bezproreda"/>
        <w:rPr>
          <w:rFonts w:ascii="Times New Roman" w:hAnsi="Times New Roman" w:cs="Times New Roman"/>
          <w:sz w:val="24"/>
          <w:szCs w:val="24"/>
        </w:rPr>
      </w:pPr>
      <w:r>
        <w:rPr>
          <w:rFonts w:ascii="Times New Roman" w:hAnsi="Times New Roman" w:cs="Times New Roman"/>
          <w:sz w:val="24"/>
          <w:szCs w:val="24"/>
        </w:rPr>
        <w:t xml:space="preserve">Financijsku imovinu (šifra 1) čine: </w:t>
      </w:r>
    </w:p>
    <w:p w14:paraId="46CB12EE" w14:textId="77777777" w:rsidR="00CC333D" w:rsidRDefault="00000000">
      <w:pPr>
        <w:pStyle w:val="Bezproreda"/>
        <w:numPr>
          <w:ilvl w:val="0"/>
          <w:numId w:val="31"/>
        </w:numPr>
        <w:rPr>
          <w:rFonts w:ascii="Times New Roman" w:hAnsi="Times New Roman" w:cs="Times New Roman"/>
          <w:sz w:val="24"/>
          <w:szCs w:val="24"/>
        </w:rPr>
      </w:pPr>
      <w:r>
        <w:rPr>
          <w:rFonts w:ascii="Times New Roman" w:hAnsi="Times New Roman" w:cs="Times New Roman"/>
          <w:sz w:val="24"/>
          <w:szCs w:val="24"/>
        </w:rPr>
        <w:t xml:space="preserve">novac u banci i u blagajni (šifra 11) u iznosu od 353.022,03 eura, </w:t>
      </w:r>
    </w:p>
    <w:p w14:paraId="77A20169" w14:textId="77777777" w:rsidR="00CC333D" w:rsidRDefault="00000000">
      <w:pPr>
        <w:pStyle w:val="Bezproreda"/>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potraživanja (šifra 12) u iznosu od 22.400,77 eura u naravi se odnose na potraživanja za bolovanja od HZZO, potraživanja za dane predujmove i ostala potraživanja koja se refundiraju,</w:t>
      </w:r>
    </w:p>
    <w:p w14:paraId="1D1D07E4" w14:textId="77777777" w:rsidR="00CC333D" w:rsidRDefault="00000000">
      <w:pPr>
        <w:pStyle w:val="Bezproreda"/>
        <w:numPr>
          <w:ilvl w:val="0"/>
          <w:numId w:val="33"/>
        </w:numPr>
        <w:rPr>
          <w:rFonts w:ascii="Times New Roman" w:hAnsi="Times New Roman" w:cs="Times New Roman"/>
          <w:sz w:val="24"/>
          <w:szCs w:val="24"/>
        </w:rPr>
      </w:pPr>
      <w:r>
        <w:rPr>
          <w:rFonts w:ascii="Times New Roman" w:hAnsi="Times New Roman" w:cs="Times New Roman"/>
          <w:sz w:val="24"/>
          <w:szCs w:val="24"/>
        </w:rPr>
        <w:t xml:space="preserve">vrijednosni papiri (šifra 14) u iznosu od 17.566,33 eura, </w:t>
      </w:r>
    </w:p>
    <w:p w14:paraId="7DC47B49" w14:textId="77777777" w:rsidR="00CC333D" w:rsidRDefault="00000000">
      <w:pPr>
        <w:pStyle w:val="Bezproreda"/>
        <w:numPr>
          <w:ilvl w:val="0"/>
          <w:numId w:val="34"/>
        </w:numPr>
        <w:rPr>
          <w:rFonts w:ascii="Times New Roman" w:hAnsi="Times New Roman" w:cs="Times New Roman"/>
          <w:sz w:val="24"/>
          <w:szCs w:val="24"/>
        </w:rPr>
      </w:pPr>
      <w:r>
        <w:rPr>
          <w:rFonts w:ascii="Times New Roman" w:hAnsi="Times New Roman" w:cs="Times New Roman"/>
          <w:sz w:val="24"/>
          <w:szCs w:val="24"/>
        </w:rPr>
        <w:t xml:space="preserve">dionice i udjeli u glavnici (šifra 15) u iznosu od 16.300,00 eura, </w:t>
      </w:r>
    </w:p>
    <w:p w14:paraId="75BA87F7" w14:textId="77777777" w:rsidR="00CC333D" w:rsidRDefault="00000000">
      <w:pPr>
        <w:pStyle w:val="Bezproreda"/>
        <w:numPr>
          <w:ilvl w:val="0"/>
          <w:numId w:val="35"/>
        </w:numPr>
        <w:rPr>
          <w:rFonts w:ascii="Times New Roman" w:hAnsi="Times New Roman" w:cs="Times New Roman"/>
          <w:sz w:val="24"/>
          <w:szCs w:val="24"/>
        </w:rPr>
      </w:pPr>
      <w:r>
        <w:rPr>
          <w:rFonts w:ascii="Times New Roman" w:hAnsi="Times New Roman" w:cs="Times New Roman"/>
          <w:sz w:val="24"/>
          <w:szCs w:val="24"/>
        </w:rPr>
        <w:t>potraživanja za prihode poslovanja (šifra 16) u iznosu od 330.342,12 eura,</w:t>
      </w:r>
    </w:p>
    <w:p w14:paraId="0FFF1707" w14:textId="77777777" w:rsidR="00CC333D" w:rsidRDefault="00000000">
      <w:pPr>
        <w:pStyle w:val="Bezproreda"/>
        <w:numPr>
          <w:ilvl w:val="0"/>
          <w:numId w:val="36"/>
        </w:numPr>
        <w:rPr>
          <w:rFonts w:ascii="Times New Roman" w:hAnsi="Times New Roman" w:cs="Times New Roman"/>
          <w:sz w:val="24"/>
          <w:szCs w:val="24"/>
        </w:rPr>
      </w:pPr>
      <w:r>
        <w:rPr>
          <w:rFonts w:ascii="Times New Roman" w:hAnsi="Times New Roman" w:cs="Times New Roman"/>
          <w:sz w:val="24"/>
          <w:szCs w:val="24"/>
        </w:rPr>
        <w:t>potraživanja od prodaje nefinancijske imovine (šifra 17) u iznosu od 10.526,43 eura.</w:t>
      </w:r>
    </w:p>
    <w:p w14:paraId="48232A9B" w14:textId="77777777" w:rsidR="00CC333D" w:rsidRDefault="00CC333D">
      <w:pPr>
        <w:pStyle w:val="Bezproreda"/>
        <w:jc w:val="both"/>
        <w:rPr>
          <w:rFonts w:ascii="Times New Roman" w:hAnsi="Times New Roman" w:cs="Times New Roman"/>
          <w:sz w:val="24"/>
          <w:szCs w:val="24"/>
        </w:rPr>
      </w:pPr>
    </w:p>
    <w:p w14:paraId="02EB4A89" w14:textId="77777777" w:rsidR="008B67CA" w:rsidRDefault="008B67CA">
      <w:pPr>
        <w:pStyle w:val="Bezproreda"/>
        <w:jc w:val="both"/>
        <w:rPr>
          <w:rFonts w:ascii="Times New Roman" w:hAnsi="Times New Roman" w:cs="Times New Roman"/>
          <w:sz w:val="24"/>
          <w:szCs w:val="24"/>
        </w:rPr>
      </w:pPr>
    </w:p>
    <w:p w14:paraId="08264598" w14:textId="4CBCD2AE" w:rsidR="00CC333D"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Izvori imovine sastoje se od: </w:t>
      </w:r>
    </w:p>
    <w:p w14:paraId="3F487E0F" w14:textId="77777777" w:rsidR="00CC333D" w:rsidRDefault="00000000">
      <w:pPr>
        <w:pStyle w:val="Bezproreda"/>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obveza (šifra 2) u iznosu od 1.600.667,66 eura , koje se u naravi odnose na obveze za rashode poslovanja (šifra 23) u iznosu od 990.612,57 eura, obveze za nabavu nefinancijske imovine (šifra 24) u iznosu od 79.683,46 eura i obveze za kredite i zajmove (šifra 26) u iznosu od 530.371,63 eura,  </w:t>
      </w:r>
    </w:p>
    <w:p w14:paraId="5B18D4DF" w14:textId="77777777" w:rsidR="00CC333D" w:rsidRDefault="00000000">
      <w:pPr>
        <w:pStyle w:val="Bezproreda"/>
        <w:numPr>
          <w:ilvl w:val="0"/>
          <w:numId w:val="38"/>
        </w:numPr>
        <w:jc w:val="both"/>
        <w:rPr>
          <w:rFonts w:ascii="Times New Roman" w:hAnsi="Times New Roman" w:cs="Times New Roman"/>
          <w:sz w:val="24"/>
          <w:szCs w:val="24"/>
        </w:rPr>
      </w:pPr>
      <w:r>
        <w:rPr>
          <w:rFonts w:ascii="Times New Roman" w:hAnsi="Times New Roman" w:cs="Times New Roman"/>
          <w:sz w:val="24"/>
          <w:szCs w:val="24"/>
        </w:rPr>
        <w:t>vlastitih izvora (šifra 9) u iznosu od 7.721.858,03 eura.</w:t>
      </w:r>
    </w:p>
    <w:p w14:paraId="62AB5D87" w14:textId="77777777" w:rsidR="00CC333D" w:rsidRDefault="00CC333D">
      <w:pPr>
        <w:pStyle w:val="Bezproreda"/>
        <w:ind w:left="720"/>
        <w:jc w:val="both"/>
        <w:rPr>
          <w:rFonts w:ascii="Times New Roman" w:hAnsi="Times New Roman" w:cs="Times New Roman"/>
          <w:sz w:val="24"/>
          <w:szCs w:val="24"/>
        </w:rPr>
      </w:pPr>
    </w:p>
    <w:p w14:paraId="76F25714" w14:textId="77777777" w:rsidR="0042302B" w:rsidRDefault="0042302B">
      <w:pPr>
        <w:jc w:val="both"/>
        <w:rPr>
          <w:rFonts w:ascii="Times New Roman" w:hAnsi="Times New Roman" w:cs="Times New Roman"/>
          <w:color w:val="000000" w:themeColor="text1"/>
          <w:sz w:val="24"/>
          <w:szCs w:val="24"/>
        </w:rPr>
      </w:pPr>
    </w:p>
    <w:p w14:paraId="6330012C" w14:textId="337A53EC"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izvan bilančnim zapisima (šifre 991 - 996) iskazan je ukupan iznos od 779.254,85 </w:t>
      </w:r>
      <w:r>
        <w:rPr>
          <w:rFonts w:ascii="Times New Roman" w:hAnsi="Times New Roman" w:cs="Times New Roman"/>
          <w:sz w:val="24"/>
          <w:szCs w:val="24"/>
        </w:rPr>
        <w:t>e</w:t>
      </w:r>
      <w:r>
        <w:rPr>
          <w:rFonts w:ascii="Times New Roman" w:hAnsi="Times New Roman" w:cs="Times New Roman"/>
          <w:color w:val="000000" w:themeColor="text1"/>
          <w:sz w:val="24"/>
          <w:szCs w:val="24"/>
        </w:rPr>
        <w:t xml:space="preserve">ura, a odnosi se na: </w:t>
      </w:r>
    </w:p>
    <w:p w14:paraId="43A9DBDC" w14:textId="77777777" w:rsidR="00CC333D" w:rsidRDefault="00000000">
      <w:pPr>
        <w:pStyle w:val="Odlomakpopisa"/>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tuđu imovinu dobivenu na korištenje u  iznosu od 72.497,35 eura, radi se o imovini koja je nabavljena u sklopu EU projekta „Poboljšanje pristupa primarnoj zdravstvenoj zaštiti s naglaskom na udaljena i deprivirana područja kroz ulaganja u potrebe pružatelje usluga zdravstvene zaštite na primarnoj razini na otocima Zadarske županije“ u kojem je Dom zdravlja partner na projektu, a osnivač/Zadarska županija nositelj projekta.</w:t>
      </w:r>
    </w:p>
    <w:p w14:paraId="66646FD2" w14:textId="77777777" w:rsidR="00CC333D" w:rsidRDefault="00CC333D">
      <w:pPr>
        <w:pStyle w:val="Odlomakpopisa"/>
        <w:jc w:val="both"/>
        <w:rPr>
          <w:rFonts w:ascii="Times New Roman" w:hAnsi="Times New Roman" w:cs="Times New Roman"/>
          <w:color w:val="000000" w:themeColor="text1"/>
          <w:sz w:val="24"/>
          <w:szCs w:val="24"/>
        </w:rPr>
      </w:pPr>
    </w:p>
    <w:p w14:paraId="3622B085" w14:textId="77777777" w:rsidR="00CC333D" w:rsidRPr="008B67CA" w:rsidRDefault="00000000">
      <w:pPr>
        <w:pStyle w:val="Bezproreda"/>
        <w:numPr>
          <w:ilvl w:val="0"/>
          <w:numId w:val="1"/>
        </w:numPr>
        <w:jc w:val="both"/>
        <w:rPr>
          <w:rFonts w:ascii="Times New Roman" w:hAnsi="Times New Roman" w:cs="Times New Roman"/>
          <w:sz w:val="24"/>
          <w:szCs w:val="24"/>
        </w:rPr>
      </w:pPr>
      <w:r>
        <w:rPr>
          <w:rFonts w:ascii="Times New Roman" w:eastAsia="Times New Roman" w:hAnsi="Times New Roman" w:cs="Times New Roman"/>
          <w:iCs/>
          <w:sz w:val="24"/>
          <w:szCs w:val="24"/>
          <w:lang w:eastAsia="hr-HR"/>
        </w:rPr>
        <w:t>ugovorne odnose i slično koji uz ispunjenje određenih uvjeta, mogu postati obveza ili imovina iznose 655.312,84 eura , i u naravi se odnosi na ugovorne odnose koji mogu postati imovina ( primljena jamstva i slično) u iznosu od 114.964,87 eura te ugovornih odnosa koji mogu postati obveza u iznosu od 540.347,97 eura.</w:t>
      </w:r>
    </w:p>
    <w:p w14:paraId="1B5DEAA8" w14:textId="77777777" w:rsidR="008B67CA" w:rsidRDefault="008B67CA" w:rsidP="008B67CA">
      <w:pPr>
        <w:pStyle w:val="Bezproreda"/>
        <w:jc w:val="both"/>
        <w:rPr>
          <w:rFonts w:ascii="Times New Roman" w:hAnsi="Times New Roman" w:cs="Times New Roman"/>
          <w:sz w:val="24"/>
          <w:szCs w:val="24"/>
        </w:rPr>
      </w:pPr>
    </w:p>
    <w:tbl>
      <w:tblPr>
        <w:tblW w:w="9180" w:type="dxa"/>
        <w:tblInd w:w="109" w:type="dxa"/>
        <w:tblLayout w:type="fixed"/>
        <w:tblLook w:val="04A0" w:firstRow="1" w:lastRow="0" w:firstColumn="1" w:lastColumn="0" w:noHBand="0" w:noVBand="1"/>
      </w:tblPr>
      <w:tblGrid>
        <w:gridCol w:w="600"/>
        <w:gridCol w:w="894"/>
        <w:gridCol w:w="916"/>
        <w:gridCol w:w="993"/>
        <w:gridCol w:w="993"/>
        <w:gridCol w:w="1176"/>
        <w:gridCol w:w="1049"/>
        <w:gridCol w:w="868"/>
        <w:gridCol w:w="778"/>
        <w:gridCol w:w="913"/>
      </w:tblGrid>
      <w:tr w:rsidR="00CC333D" w14:paraId="3D5F702A" w14:textId="77777777">
        <w:trPr>
          <w:trHeight w:val="456"/>
        </w:trPr>
        <w:tc>
          <w:tcPr>
            <w:tcW w:w="9179" w:type="dxa"/>
            <w:gridSpan w:val="10"/>
            <w:shd w:val="clear" w:color="auto" w:fill="auto"/>
            <w:vAlign w:val="center"/>
          </w:tcPr>
          <w:p w14:paraId="6BDAA100"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POPIS UGOVORNIH ODNOSA KOJI MOGU POSTATI IMOVINA (PRIMLJENA JAMSTVA i slično)</w:t>
            </w:r>
          </w:p>
        </w:tc>
      </w:tr>
      <w:tr w:rsidR="00CC333D" w14:paraId="1EE8377C" w14:textId="77777777">
        <w:trPr>
          <w:trHeight w:val="864"/>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EDC25"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Redni broj</w:t>
            </w:r>
          </w:p>
        </w:tc>
        <w:tc>
          <w:tcPr>
            <w:tcW w:w="894" w:type="dxa"/>
            <w:tcBorders>
              <w:top w:val="single" w:sz="4" w:space="0" w:color="000000"/>
              <w:bottom w:val="single" w:sz="4" w:space="0" w:color="000000"/>
              <w:right w:val="single" w:sz="4" w:space="0" w:color="000000"/>
            </w:tcBorders>
            <w:shd w:val="clear" w:color="auto" w:fill="auto"/>
            <w:vAlign w:val="center"/>
          </w:tcPr>
          <w:p w14:paraId="7F302598"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Datum izdavanja jamstva</w:t>
            </w:r>
          </w:p>
        </w:tc>
        <w:tc>
          <w:tcPr>
            <w:tcW w:w="916" w:type="dxa"/>
            <w:tcBorders>
              <w:top w:val="single" w:sz="4" w:space="0" w:color="000000"/>
              <w:bottom w:val="single" w:sz="4" w:space="0" w:color="000000"/>
              <w:right w:val="single" w:sz="4" w:space="0" w:color="000000"/>
            </w:tcBorders>
            <w:shd w:val="clear" w:color="auto" w:fill="auto"/>
            <w:vAlign w:val="center"/>
          </w:tcPr>
          <w:p w14:paraId="751F3439"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Vrsta jamstva</w:t>
            </w:r>
          </w:p>
        </w:tc>
        <w:tc>
          <w:tcPr>
            <w:tcW w:w="993" w:type="dxa"/>
            <w:tcBorders>
              <w:top w:val="single" w:sz="4" w:space="0" w:color="000000"/>
              <w:bottom w:val="single" w:sz="4" w:space="0" w:color="000000"/>
              <w:right w:val="single" w:sz="4" w:space="0" w:color="000000"/>
            </w:tcBorders>
            <w:shd w:val="clear" w:color="auto" w:fill="auto"/>
            <w:vAlign w:val="center"/>
          </w:tcPr>
          <w:p w14:paraId="49236039"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Visina jamstva u EUR</w:t>
            </w:r>
          </w:p>
        </w:tc>
        <w:tc>
          <w:tcPr>
            <w:tcW w:w="993" w:type="dxa"/>
            <w:tcBorders>
              <w:top w:val="single" w:sz="4" w:space="0" w:color="000000"/>
              <w:bottom w:val="single" w:sz="4" w:space="0" w:color="000000"/>
              <w:right w:val="single" w:sz="4" w:space="0" w:color="000000"/>
            </w:tcBorders>
            <w:shd w:val="clear" w:color="auto" w:fill="auto"/>
            <w:vAlign w:val="center"/>
          </w:tcPr>
          <w:p w14:paraId="6D2F4BBD"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Namjena jamstva</w:t>
            </w:r>
          </w:p>
        </w:tc>
        <w:tc>
          <w:tcPr>
            <w:tcW w:w="1176" w:type="dxa"/>
            <w:tcBorders>
              <w:top w:val="single" w:sz="4" w:space="0" w:color="000000"/>
              <w:bottom w:val="single" w:sz="4" w:space="0" w:color="000000"/>
              <w:right w:val="single" w:sz="4" w:space="0" w:color="000000"/>
            </w:tcBorders>
            <w:shd w:val="clear" w:color="auto" w:fill="auto"/>
            <w:vAlign w:val="center"/>
          </w:tcPr>
          <w:p w14:paraId="4A79741E"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Izdavatelj jamstva</w:t>
            </w:r>
          </w:p>
        </w:tc>
        <w:tc>
          <w:tcPr>
            <w:tcW w:w="1049" w:type="dxa"/>
            <w:tcBorders>
              <w:top w:val="single" w:sz="4" w:space="0" w:color="000000"/>
              <w:bottom w:val="single" w:sz="4" w:space="0" w:color="000000"/>
              <w:right w:val="single" w:sz="4" w:space="0" w:color="000000"/>
            </w:tcBorders>
            <w:shd w:val="clear" w:color="auto" w:fill="auto"/>
            <w:vAlign w:val="center"/>
          </w:tcPr>
          <w:p w14:paraId="30687073"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Dokument (npr.ugovor i sl.)</w:t>
            </w:r>
          </w:p>
        </w:tc>
        <w:tc>
          <w:tcPr>
            <w:tcW w:w="868" w:type="dxa"/>
            <w:tcBorders>
              <w:top w:val="single" w:sz="4" w:space="0" w:color="000000"/>
              <w:bottom w:val="single" w:sz="4" w:space="0" w:color="000000"/>
              <w:right w:val="single" w:sz="4" w:space="0" w:color="000000"/>
            </w:tcBorders>
            <w:shd w:val="clear" w:color="auto" w:fill="auto"/>
            <w:vAlign w:val="center"/>
          </w:tcPr>
          <w:p w14:paraId="31AEC58B"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Rok važenja</w:t>
            </w:r>
          </w:p>
        </w:tc>
        <w:tc>
          <w:tcPr>
            <w:tcW w:w="778" w:type="dxa"/>
            <w:tcBorders>
              <w:top w:val="single" w:sz="4" w:space="0" w:color="000000"/>
              <w:bottom w:val="single" w:sz="4" w:space="0" w:color="000000"/>
              <w:right w:val="single" w:sz="4" w:space="0" w:color="000000"/>
            </w:tcBorders>
            <w:shd w:val="clear" w:color="auto" w:fill="auto"/>
            <w:vAlign w:val="center"/>
          </w:tcPr>
          <w:p w14:paraId="18DD3034"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Korisnik jamstva</w:t>
            </w:r>
          </w:p>
        </w:tc>
        <w:tc>
          <w:tcPr>
            <w:tcW w:w="913" w:type="dxa"/>
            <w:tcBorders>
              <w:top w:val="single" w:sz="4" w:space="0" w:color="000000"/>
              <w:bottom w:val="single" w:sz="4" w:space="0" w:color="000000"/>
              <w:right w:val="single" w:sz="4" w:space="0" w:color="000000"/>
            </w:tcBorders>
            <w:shd w:val="clear" w:color="auto" w:fill="auto"/>
            <w:vAlign w:val="center"/>
          </w:tcPr>
          <w:p w14:paraId="788EF209"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Napomena</w:t>
            </w:r>
          </w:p>
        </w:tc>
      </w:tr>
      <w:tr w:rsidR="00CC333D" w14:paraId="6CB18514" w14:textId="77777777">
        <w:trPr>
          <w:trHeight w:val="660"/>
        </w:trPr>
        <w:tc>
          <w:tcPr>
            <w:tcW w:w="599" w:type="dxa"/>
            <w:tcBorders>
              <w:left w:val="single" w:sz="4" w:space="0" w:color="000000"/>
              <w:bottom w:val="single" w:sz="4" w:space="0" w:color="000000"/>
              <w:right w:val="single" w:sz="4" w:space="0" w:color="000000"/>
            </w:tcBorders>
            <w:shd w:val="clear" w:color="auto" w:fill="auto"/>
            <w:vAlign w:val="center"/>
          </w:tcPr>
          <w:p w14:paraId="4DA55F65"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c>
          <w:tcPr>
            <w:tcW w:w="894" w:type="dxa"/>
            <w:tcBorders>
              <w:bottom w:val="single" w:sz="4" w:space="0" w:color="000000"/>
              <w:right w:val="single" w:sz="4" w:space="0" w:color="000000"/>
            </w:tcBorders>
            <w:shd w:val="clear" w:color="auto" w:fill="auto"/>
            <w:vAlign w:val="center"/>
          </w:tcPr>
          <w:p w14:paraId="5C498D3E" w14:textId="77777777" w:rsidR="00CC333D" w:rsidRDefault="00000000">
            <w:pPr>
              <w:suppressAutoHyphens w:val="0"/>
              <w:spacing w:after="0" w:line="240" w:lineRule="auto"/>
              <w:jc w:val="center"/>
              <w:rPr>
                <w:rFonts w:ascii="Times New Roman" w:eastAsia="Times New Roman" w:hAnsi="Times New Roman" w:cs="Times New Roman"/>
                <w:color w:val="000000"/>
                <w:sz w:val="14"/>
                <w:szCs w:val="14"/>
                <w:lang w:eastAsia="hr-HR"/>
              </w:rPr>
            </w:pPr>
            <w:r>
              <w:rPr>
                <w:rFonts w:ascii="Times New Roman" w:eastAsia="Times New Roman" w:hAnsi="Times New Roman" w:cs="Times New Roman"/>
                <w:color w:val="000000"/>
                <w:sz w:val="14"/>
                <w:szCs w:val="14"/>
                <w:lang w:eastAsia="hr-HR"/>
              </w:rPr>
              <w:t>12.09.2022</w:t>
            </w:r>
          </w:p>
        </w:tc>
        <w:tc>
          <w:tcPr>
            <w:tcW w:w="916" w:type="dxa"/>
            <w:tcBorders>
              <w:bottom w:val="single" w:sz="4" w:space="0" w:color="000000"/>
              <w:right w:val="single" w:sz="4" w:space="0" w:color="000000"/>
            </w:tcBorders>
            <w:shd w:val="clear" w:color="auto" w:fill="auto"/>
            <w:vAlign w:val="center"/>
          </w:tcPr>
          <w:p w14:paraId="0CBC5E6A"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Novčani polog, uplaćen 12.09.2022.g.</w:t>
            </w:r>
          </w:p>
        </w:tc>
        <w:tc>
          <w:tcPr>
            <w:tcW w:w="993" w:type="dxa"/>
            <w:tcBorders>
              <w:bottom w:val="single" w:sz="4" w:space="0" w:color="000000"/>
              <w:right w:val="single" w:sz="4" w:space="0" w:color="000000"/>
            </w:tcBorders>
            <w:shd w:val="clear" w:color="auto" w:fill="auto"/>
            <w:vAlign w:val="center"/>
          </w:tcPr>
          <w:p w14:paraId="317EC8A6" w14:textId="77777777" w:rsidR="00CC333D" w:rsidRDefault="00000000">
            <w:pPr>
              <w:suppressAutoHyphens w:val="0"/>
              <w:spacing w:after="0" w:line="240" w:lineRule="auto"/>
              <w:jc w:val="right"/>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3.848,96</w:t>
            </w:r>
          </w:p>
        </w:tc>
        <w:tc>
          <w:tcPr>
            <w:tcW w:w="993" w:type="dxa"/>
            <w:tcBorders>
              <w:bottom w:val="single" w:sz="4" w:space="0" w:color="000000"/>
              <w:right w:val="single" w:sz="4" w:space="0" w:color="000000"/>
            </w:tcBorders>
            <w:shd w:val="clear" w:color="auto" w:fill="auto"/>
            <w:vAlign w:val="center"/>
          </w:tcPr>
          <w:p w14:paraId="67E44E5C"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ozbiljnost ponude</w:t>
            </w:r>
          </w:p>
        </w:tc>
        <w:tc>
          <w:tcPr>
            <w:tcW w:w="1176" w:type="dxa"/>
            <w:tcBorders>
              <w:bottom w:val="single" w:sz="4" w:space="0" w:color="000000"/>
              <w:right w:val="single" w:sz="4" w:space="0" w:color="000000"/>
            </w:tcBorders>
            <w:shd w:val="clear" w:color="auto" w:fill="auto"/>
            <w:vAlign w:val="center"/>
          </w:tcPr>
          <w:p w14:paraId="3C9F1941"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ZEKO DENT d.o.o.</w:t>
            </w:r>
          </w:p>
        </w:tc>
        <w:tc>
          <w:tcPr>
            <w:tcW w:w="1049" w:type="dxa"/>
            <w:tcBorders>
              <w:bottom w:val="single" w:sz="4" w:space="0" w:color="000000"/>
              <w:right w:val="single" w:sz="4" w:space="0" w:color="000000"/>
            </w:tcBorders>
            <w:shd w:val="clear" w:color="auto" w:fill="auto"/>
            <w:vAlign w:val="center"/>
          </w:tcPr>
          <w:p w14:paraId="3E98B9CA"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postupak javne nabave stomatološkog materijala (evidencijski broj nabave MV - 5 - 22</w:t>
            </w:r>
          </w:p>
        </w:tc>
        <w:tc>
          <w:tcPr>
            <w:tcW w:w="868" w:type="dxa"/>
            <w:tcBorders>
              <w:bottom w:val="single" w:sz="4" w:space="0" w:color="000000"/>
              <w:right w:val="single" w:sz="4" w:space="0" w:color="000000"/>
            </w:tcBorders>
            <w:shd w:val="clear" w:color="auto" w:fill="auto"/>
            <w:vAlign w:val="center"/>
          </w:tcPr>
          <w:p w14:paraId="041C58CC"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 okonačanja postupka</w:t>
            </w:r>
          </w:p>
        </w:tc>
        <w:tc>
          <w:tcPr>
            <w:tcW w:w="778" w:type="dxa"/>
            <w:tcBorders>
              <w:bottom w:val="single" w:sz="4" w:space="0" w:color="000000"/>
              <w:right w:val="single" w:sz="4" w:space="0" w:color="000000"/>
            </w:tcBorders>
            <w:shd w:val="clear" w:color="auto" w:fill="auto"/>
            <w:vAlign w:val="center"/>
          </w:tcPr>
          <w:p w14:paraId="4E87387D"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Dom zdravlja ZDŽ</w:t>
            </w:r>
          </w:p>
        </w:tc>
        <w:tc>
          <w:tcPr>
            <w:tcW w:w="913" w:type="dxa"/>
            <w:tcBorders>
              <w:bottom w:val="single" w:sz="4" w:space="0" w:color="000000"/>
              <w:right w:val="single" w:sz="4" w:space="0" w:color="000000"/>
            </w:tcBorders>
            <w:shd w:val="clear" w:color="auto" w:fill="auto"/>
            <w:vAlign w:val="center"/>
          </w:tcPr>
          <w:p w14:paraId="348EFDF6"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w:t>
            </w:r>
          </w:p>
        </w:tc>
      </w:tr>
      <w:tr w:rsidR="00CC333D" w14:paraId="5EFEAFE1" w14:textId="77777777">
        <w:trPr>
          <w:trHeight w:val="1020"/>
        </w:trPr>
        <w:tc>
          <w:tcPr>
            <w:tcW w:w="599" w:type="dxa"/>
            <w:tcBorders>
              <w:left w:val="single" w:sz="4" w:space="0" w:color="000000"/>
              <w:bottom w:val="single" w:sz="4" w:space="0" w:color="000000"/>
              <w:right w:val="single" w:sz="4" w:space="0" w:color="000000"/>
            </w:tcBorders>
            <w:shd w:val="clear" w:color="auto" w:fill="auto"/>
            <w:vAlign w:val="center"/>
          </w:tcPr>
          <w:p w14:paraId="714B51BD"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2.</w:t>
            </w:r>
          </w:p>
        </w:tc>
        <w:tc>
          <w:tcPr>
            <w:tcW w:w="894" w:type="dxa"/>
            <w:tcBorders>
              <w:bottom w:val="single" w:sz="4" w:space="0" w:color="000000"/>
              <w:right w:val="single" w:sz="4" w:space="0" w:color="000000"/>
            </w:tcBorders>
            <w:shd w:val="clear" w:color="auto" w:fill="auto"/>
            <w:vAlign w:val="center"/>
          </w:tcPr>
          <w:p w14:paraId="718BBB10"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4"/>
                <w:szCs w:val="14"/>
                <w:lang w:eastAsia="hr-HR"/>
              </w:rPr>
              <w:t>18.05.2023</w:t>
            </w:r>
            <w:r>
              <w:rPr>
                <w:rFonts w:ascii="Times New Roman" w:eastAsia="Times New Roman" w:hAnsi="Times New Roman" w:cs="Times New Roman"/>
                <w:color w:val="000000"/>
                <w:sz w:val="16"/>
                <w:szCs w:val="16"/>
                <w:lang w:eastAsia="hr-HR"/>
              </w:rPr>
              <w:t>.</w:t>
            </w:r>
          </w:p>
        </w:tc>
        <w:tc>
          <w:tcPr>
            <w:tcW w:w="916" w:type="dxa"/>
            <w:tcBorders>
              <w:bottom w:val="single" w:sz="4" w:space="0" w:color="000000"/>
              <w:right w:val="single" w:sz="4" w:space="0" w:color="000000"/>
            </w:tcBorders>
            <w:shd w:val="clear" w:color="auto" w:fill="auto"/>
            <w:vAlign w:val="center"/>
          </w:tcPr>
          <w:p w14:paraId="18945B50"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Bjanko zadužnica        broj OV-7424/2023</w:t>
            </w:r>
          </w:p>
        </w:tc>
        <w:tc>
          <w:tcPr>
            <w:tcW w:w="993" w:type="dxa"/>
            <w:tcBorders>
              <w:bottom w:val="single" w:sz="4" w:space="0" w:color="000000"/>
              <w:right w:val="single" w:sz="4" w:space="0" w:color="000000"/>
            </w:tcBorders>
            <w:shd w:val="clear" w:color="auto" w:fill="auto"/>
            <w:vAlign w:val="center"/>
          </w:tcPr>
          <w:p w14:paraId="0E7FC157" w14:textId="77777777" w:rsidR="00CC333D" w:rsidRDefault="00000000">
            <w:pPr>
              <w:suppressAutoHyphens w:val="0"/>
              <w:spacing w:after="0" w:line="240" w:lineRule="auto"/>
              <w:jc w:val="right"/>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10.000,00</w:t>
            </w:r>
          </w:p>
        </w:tc>
        <w:tc>
          <w:tcPr>
            <w:tcW w:w="993" w:type="dxa"/>
            <w:tcBorders>
              <w:bottom w:val="single" w:sz="4" w:space="0" w:color="000000"/>
              <w:right w:val="single" w:sz="4" w:space="0" w:color="000000"/>
            </w:tcBorders>
            <w:shd w:val="clear" w:color="auto" w:fill="auto"/>
            <w:vAlign w:val="center"/>
          </w:tcPr>
          <w:p w14:paraId="5628DFB3"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i otklanjanje nedostataka u jamstvenom roku</w:t>
            </w:r>
          </w:p>
        </w:tc>
        <w:tc>
          <w:tcPr>
            <w:tcW w:w="1176" w:type="dxa"/>
            <w:tcBorders>
              <w:bottom w:val="single" w:sz="4" w:space="0" w:color="000000"/>
              <w:right w:val="single" w:sz="4" w:space="0" w:color="000000"/>
            </w:tcBorders>
            <w:shd w:val="clear" w:color="auto" w:fill="auto"/>
            <w:vAlign w:val="center"/>
          </w:tcPr>
          <w:p w14:paraId="791ABF99"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FRANJA d.o.o.</w:t>
            </w:r>
          </w:p>
        </w:tc>
        <w:tc>
          <w:tcPr>
            <w:tcW w:w="1049" w:type="dxa"/>
            <w:tcBorders>
              <w:bottom w:val="single" w:sz="4" w:space="0" w:color="000000"/>
              <w:right w:val="single" w:sz="4" w:space="0" w:color="000000"/>
            </w:tcBorders>
            <w:shd w:val="clear" w:color="auto" w:fill="auto"/>
            <w:vAlign w:val="center"/>
          </w:tcPr>
          <w:p w14:paraId="12354E2A"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Ugovor o izvođenju radova Izmjena prostorne organizacije ginekoloških ambulanti </w:t>
            </w:r>
            <w:r>
              <w:rPr>
                <w:rFonts w:ascii="Times New Roman" w:eastAsia="Times New Roman" w:hAnsi="Times New Roman" w:cs="Times New Roman"/>
                <w:color w:val="000000"/>
                <w:sz w:val="16"/>
                <w:szCs w:val="16"/>
                <w:lang w:eastAsia="hr-HR"/>
              </w:rPr>
              <w:lastRenderedPageBreak/>
              <w:t>URBROJ: 01-1645/2023</w:t>
            </w:r>
          </w:p>
        </w:tc>
        <w:tc>
          <w:tcPr>
            <w:tcW w:w="868" w:type="dxa"/>
            <w:tcBorders>
              <w:bottom w:val="single" w:sz="4" w:space="0" w:color="000000"/>
              <w:right w:val="single" w:sz="4" w:space="0" w:color="000000"/>
            </w:tcBorders>
            <w:shd w:val="clear" w:color="auto" w:fill="auto"/>
            <w:vAlign w:val="center"/>
          </w:tcPr>
          <w:p w14:paraId="22046538"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lastRenderedPageBreak/>
              <w:t>3 godine</w:t>
            </w:r>
          </w:p>
        </w:tc>
        <w:tc>
          <w:tcPr>
            <w:tcW w:w="778" w:type="dxa"/>
            <w:tcBorders>
              <w:bottom w:val="single" w:sz="4" w:space="0" w:color="000000"/>
              <w:right w:val="single" w:sz="4" w:space="0" w:color="000000"/>
            </w:tcBorders>
            <w:shd w:val="clear" w:color="auto" w:fill="auto"/>
            <w:vAlign w:val="center"/>
          </w:tcPr>
          <w:p w14:paraId="1DABE585"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Dom zdravlja ZDŽ</w:t>
            </w:r>
          </w:p>
        </w:tc>
        <w:tc>
          <w:tcPr>
            <w:tcW w:w="913" w:type="dxa"/>
            <w:tcBorders>
              <w:bottom w:val="single" w:sz="4" w:space="0" w:color="000000"/>
              <w:right w:val="single" w:sz="4" w:space="0" w:color="000000"/>
            </w:tcBorders>
            <w:shd w:val="clear" w:color="auto" w:fill="auto"/>
            <w:vAlign w:val="center"/>
          </w:tcPr>
          <w:p w14:paraId="6690E06D"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w:t>
            </w:r>
          </w:p>
        </w:tc>
      </w:tr>
      <w:tr w:rsidR="00CC333D" w14:paraId="7FDCACED" w14:textId="77777777">
        <w:trPr>
          <w:trHeight w:val="912"/>
        </w:trPr>
        <w:tc>
          <w:tcPr>
            <w:tcW w:w="599" w:type="dxa"/>
            <w:tcBorders>
              <w:left w:val="single" w:sz="4" w:space="0" w:color="000000"/>
              <w:bottom w:val="single" w:sz="4" w:space="0" w:color="000000"/>
              <w:right w:val="single" w:sz="4" w:space="0" w:color="000000"/>
            </w:tcBorders>
            <w:shd w:val="clear" w:color="auto" w:fill="auto"/>
            <w:vAlign w:val="center"/>
          </w:tcPr>
          <w:p w14:paraId="6BAE355C"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3.</w:t>
            </w:r>
          </w:p>
        </w:tc>
        <w:tc>
          <w:tcPr>
            <w:tcW w:w="894" w:type="dxa"/>
            <w:tcBorders>
              <w:bottom w:val="single" w:sz="4" w:space="0" w:color="000000"/>
              <w:right w:val="single" w:sz="4" w:space="0" w:color="000000"/>
            </w:tcBorders>
            <w:shd w:val="clear" w:color="auto" w:fill="auto"/>
            <w:vAlign w:val="center"/>
          </w:tcPr>
          <w:p w14:paraId="1541F679" w14:textId="77777777" w:rsidR="00CC333D" w:rsidRDefault="00000000">
            <w:pPr>
              <w:suppressAutoHyphens w:val="0"/>
              <w:spacing w:after="0" w:line="240" w:lineRule="auto"/>
              <w:jc w:val="center"/>
              <w:rPr>
                <w:rFonts w:ascii="Times New Roman" w:eastAsia="Times New Roman" w:hAnsi="Times New Roman" w:cs="Times New Roman"/>
                <w:color w:val="000000"/>
                <w:sz w:val="14"/>
                <w:szCs w:val="14"/>
                <w:lang w:eastAsia="hr-HR"/>
              </w:rPr>
            </w:pPr>
            <w:r>
              <w:rPr>
                <w:rFonts w:ascii="Times New Roman" w:eastAsia="Times New Roman" w:hAnsi="Times New Roman" w:cs="Times New Roman"/>
                <w:color w:val="000000"/>
                <w:sz w:val="14"/>
                <w:szCs w:val="14"/>
                <w:lang w:eastAsia="hr-HR"/>
              </w:rPr>
              <w:t>10.07.2023.</w:t>
            </w:r>
          </w:p>
        </w:tc>
        <w:tc>
          <w:tcPr>
            <w:tcW w:w="916" w:type="dxa"/>
            <w:tcBorders>
              <w:bottom w:val="single" w:sz="4" w:space="0" w:color="000000"/>
              <w:right w:val="single" w:sz="4" w:space="0" w:color="000000"/>
            </w:tcBorders>
            <w:shd w:val="clear" w:color="auto" w:fill="auto"/>
            <w:vAlign w:val="center"/>
          </w:tcPr>
          <w:p w14:paraId="1E9930BD"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Bjanko zadužnica        broj OV-7769/2023</w:t>
            </w:r>
          </w:p>
        </w:tc>
        <w:tc>
          <w:tcPr>
            <w:tcW w:w="993" w:type="dxa"/>
            <w:tcBorders>
              <w:bottom w:val="single" w:sz="4" w:space="0" w:color="000000"/>
              <w:right w:val="single" w:sz="4" w:space="0" w:color="000000"/>
            </w:tcBorders>
            <w:shd w:val="clear" w:color="auto" w:fill="auto"/>
            <w:vAlign w:val="center"/>
          </w:tcPr>
          <w:p w14:paraId="75EF7FA6" w14:textId="77777777" w:rsidR="00CC333D" w:rsidRDefault="00000000">
            <w:pPr>
              <w:suppressAutoHyphens w:val="0"/>
              <w:spacing w:after="0" w:line="240" w:lineRule="auto"/>
              <w:jc w:val="right"/>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2.000,00</w:t>
            </w:r>
          </w:p>
        </w:tc>
        <w:tc>
          <w:tcPr>
            <w:tcW w:w="993" w:type="dxa"/>
            <w:tcBorders>
              <w:bottom w:val="single" w:sz="4" w:space="0" w:color="000000"/>
              <w:right w:val="single" w:sz="4" w:space="0" w:color="000000"/>
            </w:tcBorders>
            <w:shd w:val="clear" w:color="auto" w:fill="auto"/>
            <w:vAlign w:val="center"/>
          </w:tcPr>
          <w:p w14:paraId="0000FDF7"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i otklanjanje nedostataka u jamstvenom roku</w:t>
            </w:r>
          </w:p>
        </w:tc>
        <w:tc>
          <w:tcPr>
            <w:tcW w:w="1176" w:type="dxa"/>
            <w:tcBorders>
              <w:bottom w:val="single" w:sz="4" w:space="0" w:color="000000"/>
              <w:right w:val="single" w:sz="4" w:space="0" w:color="000000"/>
            </w:tcBorders>
            <w:shd w:val="clear" w:color="auto" w:fill="auto"/>
            <w:vAlign w:val="center"/>
          </w:tcPr>
          <w:p w14:paraId="411BAD8B"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FRANJA d.o.o.</w:t>
            </w:r>
          </w:p>
        </w:tc>
        <w:tc>
          <w:tcPr>
            <w:tcW w:w="1049" w:type="dxa"/>
            <w:tcBorders>
              <w:bottom w:val="single" w:sz="4" w:space="0" w:color="000000"/>
              <w:right w:val="single" w:sz="4" w:space="0" w:color="000000"/>
            </w:tcBorders>
            <w:shd w:val="clear" w:color="auto" w:fill="auto"/>
            <w:vAlign w:val="center"/>
          </w:tcPr>
          <w:p w14:paraId="5DDD8BE8"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Ugovor o izvođenju radova Izmjena prostorne organizacije pedijatrijskih ambulanti URBROJ: 01-2290/2023</w:t>
            </w:r>
          </w:p>
        </w:tc>
        <w:tc>
          <w:tcPr>
            <w:tcW w:w="868" w:type="dxa"/>
            <w:tcBorders>
              <w:bottom w:val="single" w:sz="4" w:space="0" w:color="000000"/>
              <w:right w:val="single" w:sz="4" w:space="0" w:color="000000"/>
            </w:tcBorders>
            <w:shd w:val="clear" w:color="auto" w:fill="auto"/>
            <w:vAlign w:val="center"/>
          </w:tcPr>
          <w:p w14:paraId="174D25E4"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3 godine</w:t>
            </w:r>
          </w:p>
        </w:tc>
        <w:tc>
          <w:tcPr>
            <w:tcW w:w="778" w:type="dxa"/>
            <w:tcBorders>
              <w:bottom w:val="single" w:sz="4" w:space="0" w:color="000000"/>
              <w:right w:val="single" w:sz="4" w:space="0" w:color="000000"/>
            </w:tcBorders>
            <w:shd w:val="clear" w:color="auto" w:fill="auto"/>
            <w:vAlign w:val="center"/>
          </w:tcPr>
          <w:p w14:paraId="05B350CE"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Dom zdravlja ZDŽ</w:t>
            </w:r>
          </w:p>
        </w:tc>
        <w:tc>
          <w:tcPr>
            <w:tcW w:w="913" w:type="dxa"/>
            <w:tcBorders>
              <w:bottom w:val="single" w:sz="4" w:space="0" w:color="000000"/>
              <w:right w:val="single" w:sz="4" w:space="0" w:color="000000"/>
            </w:tcBorders>
            <w:shd w:val="clear" w:color="auto" w:fill="auto"/>
            <w:vAlign w:val="center"/>
          </w:tcPr>
          <w:p w14:paraId="4B2FB26C"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w:t>
            </w:r>
          </w:p>
        </w:tc>
      </w:tr>
      <w:tr w:rsidR="00CC333D" w14:paraId="54FDCBF8" w14:textId="77777777">
        <w:trPr>
          <w:trHeight w:val="1020"/>
        </w:trPr>
        <w:tc>
          <w:tcPr>
            <w:tcW w:w="599" w:type="dxa"/>
            <w:tcBorders>
              <w:left w:val="single" w:sz="4" w:space="0" w:color="000000"/>
              <w:bottom w:val="single" w:sz="4" w:space="0" w:color="000000"/>
              <w:right w:val="single" w:sz="4" w:space="0" w:color="000000"/>
            </w:tcBorders>
            <w:shd w:val="clear" w:color="auto" w:fill="auto"/>
            <w:vAlign w:val="center"/>
          </w:tcPr>
          <w:p w14:paraId="4FE2FC2E"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4.</w:t>
            </w:r>
          </w:p>
        </w:tc>
        <w:tc>
          <w:tcPr>
            <w:tcW w:w="894" w:type="dxa"/>
            <w:tcBorders>
              <w:bottom w:val="single" w:sz="4" w:space="0" w:color="000000"/>
              <w:right w:val="single" w:sz="4" w:space="0" w:color="000000"/>
            </w:tcBorders>
            <w:shd w:val="clear" w:color="auto" w:fill="auto"/>
            <w:vAlign w:val="center"/>
          </w:tcPr>
          <w:p w14:paraId="51F142C2" w14:textId="77777777" w:rsidR="00CC333D" w:rsidRDefault="00000000">
            <w:pPr>
              <w:suppressAutoHyphens w:val="0"/>
              <w:spacing w:after="0" w:line="240" w:lineRule="auto"/>
              <w:jc w:val="center"/>
              <w:rPr>
                <w:rFonts w:ascii="Times New Roman" w:eastAsia="Times New Roman" w:hAnsi="Times New Roman" w:cs="Times New Roman"/>
                <w:color w:val="000000"/>
                <w:sz w:val="14"/>
                <w:szCs w:val="14"/>
                <w:lang w:eastAsia="hr-HR"/>
              </w:rPr>
            </w:pPr>
            <w:r>
              <w:rPr>
                <w:rFonts w:ascii="Times New Roman" w:eastAsia="Times New Roman" w:hAnsi="Times New Roman" w:cs="Times New Roman"/>
                <w:color w:val="000000"/>
                <w:sz w:val="14"/>
                <w:szCs w:val="14"/>
                <w:lang w:eastAsia="hr-HR"/>
              </w:rPr>
              <w:t>09.11.2023.</w:t>
            </w:r>
          </w:p>
        </w:tc>
        <w:tc>
          <w:tcPr>
            <w:tcW w:w="916" w:type="dxa"/>
            <w:tcBorders>
              <w:bottom w:val="single" w:sz="4" w:space="0" w:color="000000"/>
              <w:right w:val="single" w:sz="4" w:space="0" w:color="000000"/>
            </w:tcBorders>
            <w:shd w:val="clear" w:color="auto" w:fill="auto"/>
            <w:vAlign w:val="center"/>
          </w:tcPr>
          <w:p w14:paraId="2F9AE259"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Bjanko zadužnica        broj OV-15949/2023</w:t>
            </w:r>
          </w:p>
        </w:tc>
        <w:tc>
          <w:tcPr>
            <w:tcW w:w="993" w:type="dxa"/>
            <w:tcBorders>
              <w:bottom w:val="single" w:sz="4" w:space="0" w:color="000000"/>
              <w:right w:val="single" w:sz="4" w:space="0" w:color="000000"/>
            </w:tcBorders>
            <w:shd w:val="clear" w:color="auto" w:fill="auto"/>
            <w:vAlign w:val="center"/>
          </w:tcPr>
          <w:p w14:paraId="63EA29F3" w14:textId="77777777" w:rsidR="00CC333D" w:rsidRDefault="00000000">
            <w:pPr>
              <w:suppressAutoHyphens w:val="0"/>
              <w:spacing w:after="0" w:line="240" w:lineRule="auto"/>
              <w:jc w:val="right"/>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75.000,00</w:t>
            </w:r>
          </w:p>
        </w:tc>
        <w:tc>
          <w:tcPr>
            <w:tcW w:w="993" w:type="dxa"/>
            <w:tcBorders>
              <w:bottom w:val="single" w:sz="4" w:space="0" w:color="000000"/>
              <w:right w:val="single" w:sz="4" w:space="0" w:color="000000"/>
            </w:tcBorders>
            <w:shd w:val="clear" w:color="auto" w:fill="auto"/>
            <w:vAlign w:val="center"/>
          </w:tcPr>
          <w:p w14:paraId="29584345"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i otklanjanje nedostataka u jamstvenom roku</w:t>
            </w:r>
          </w:p>
        </w:tc>
        <w:tc>
          <w:tcPr>
            <w:tcW w:w="1176" w:type="dxa"/>
            <w:tcBorders>
              <w:bottom w:val="single" w:sz="4" w:space="0" w:color="000000"/>
              <w:right w:val="single" w:sz="4" w:space="0" w:color="000000"/>
            </w:tcBorders>
            <w:shd w:val="clear" w:color="auto" w:fill="auto"/>
            <w:vAlign w:val="center"/>
          </w:tcPr>
          <w:p w14:paraId="3A196870"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BRANITELJSKA ZADRUGA MASLENICA</w:t>
            </w:r>
          </w:p>
        </w:tc>
        <w:tc>
          <w:tcPr>
            <w:tcW w:w="1049" w:type="dxa"/>
            <w:tcBorders>
              <w:bottom w:val="single" w:sz="4" w:space="0" w:color="000000"/>
              <w:right w:val="single" w:sz="4" w:space="0" w:color="000000"/>
            </w:tcBorders>
            <w:shd w:val="clear" w:color="auto" w:fill="auto"/>
            <w:vAlign w:val="center"/>
          </w:tcPr>
          <w:p w14:paraId="7BC85744"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Ugovor o izvođenju radova na sanaciji vanjske stolarije Molat URBROJ: 01-4259/2023</w:t>
            </w:r>
          </w:p>
        </w:tc>
        <w:tc>
          <w:tcPr>
            <w:tcW w:w="868" w:type="dxa"/>
            <w:tcBorders>
              <w:bottom w:val="single" w:sz="4" w:space="0" w:color="000000"/>
              <w:right w:val="single" w:sz="4" w:space="0" w:color="000000"/>
            </w:tcBorders>
            <w:shd w:val="clear" w:color="auto" w:fill="auto"/>
            <w:vAlign w:val="center"/>
          </w:tcPr>
          <w:p w14:paraId="4FC8CFF3"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2 godine</w:t>
            </w:r>
          </w:p>
        </w:tc>
        <w:tc>
          <w:tcPr>
            <w:tcW w:w="778" w:type="dxa"/>
            <w:tcBorders>
              <w:bottom w:val="single" w:sz="4" w:space="0" w:color="000000"/>
              <w:right w:val="single" w:sz="4" w:space="0" w:color="000000"/>
            </w:tcBorders>
            <w:shd w:val="clear" w:color="auto" w:fill="auto"/>
            <w:vAlign w:val="center"/>
          </w:tcPr>
          <w:p w14:paraId="65DE8E0B"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Dom zdravlja ZDŽ</w:t>
            </w:r>
          </w:p>
        </w:tc>
        <w:tc>
          <w:tcPr>
            <w:tcW w:w="913" w:type="dxa"/>
            <w:tcBorders>
              <w:bottom w:val="single" w:sz="4" w:space="0" w:color="000000"/>
              <w:right w:val="single" w:sz="4" w:space="0" w:color="000000"/>
            </w:tcBorders>
            <w:shd w:val="clear" w:color="auto" w:fill="auto"/>
            <w:vAlign w:val="center"/>
          </w:tcPr>
          <w:p w14:paraId="25FC2400"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w:t>
            </w:r>
          </w:p>
        </w:tc>
      </w:tr>
      <w:tr w:rsidR="00CC333D" w14:paraId="5E5474AF" w14:textId="77777777">
        <w:trPr>
          <w:trHeight w:val="876"/>
        </w:trPr>
        <w:tc>
          <w:tcPr>
            <w:tcW w:w="599" w:type="dxa"/>
            <w:tcBorders>
              <w:left w:val="single" w:sz="4" w:space="0" w:color="000000"/>
              <w:bottom w:val="single" w:sz="4" w:space="0" w:color="000000"/>
              <w:right w:val="single" w:sz="4" w:space="0" w:color="000000"/>
            </w:tcBorders>
            <w:shd w:val="clear" w:color="auto" w:fill="auto"/>
            <w:vAlign w:val="center"/>
          </w:tcPr>
          <w:p w14:paraId="2786DD3C"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5.</w:t>
            </w:r>
          </w:p>
        </w:tc>
        <w:tc>
          <w:tcPr>
            <w:tcW w:w="894" w:type="dxa"/>
            <w:tcBorders>
              <w:bottom w:val="single" w:sz="4" w:space="0" w:color="000000"/>
              <w:right w:val="single" w:sz="4" w:space="0" w:color="000000"/>
            </w:tcBorders>
            <w:shd w:val="clear" w:color="auto" w:fill="auto"/>
            <w:vAlign w:val="center"/>
          </w:tcPr>
          <w:p w14:paraId="7BE20F19" w14:textId="77777777" w:rsidR="00CC333D" w:rsidRDefault="00000000">
            <w:pPr>
              <w:suppressAutoHyphens w:val="0"/>
              <w:spacing w:after="0" w:line="240" w:lineRule="auto"/>
              <w:rPr>
                <w:rFonts w:ascii="Times New Roman" w:eastAsia="Times New Roman" w:hAnsi="Times New Roman" w:cs="Times New Roman"/>
                <w:color w:val="000000"/>
                <w:sz w:val="14"/>
                <w:szCs w:val="14"/>
                <w:lang w:eastAsia="hr-HR"/>
              </w:rPr>
            </w:pPr>
            <w:r>
              <w:rPr>
                <w:rFonts w:ascii="Times New Roman" w:eastAsia="Times New Roman" w:hAnsi="Times New Roman" w:cs="Times New Roman"/>
                <w:color w:val="000000"/>
                <w:sz w:val="14"/>
                <w:szCs w:val="14"/>
                <w:lang w:eastAsia="hr-HR"/>
              </w:rPr>
              <w:t>09.07.2024.</w:t>
            </w:r>
          </w:p>
        </w:tc>
        <w:tc>
          <w:tcPr>
            <w:tcW w:w="916" w:type="dxa"/>
            <w:tcBorders>
              <w:bottom w:val="single" w:sz="4" w:space="0" w:color="000000"/>
              <w:right w:val="single" w:sz="4" w:space="0" w:color="000000"/>
            </w:tcBorders>
            <w:shd w:val="clear" w:color="auto" w:fill="auto"/>
            <w:vAlign w:val="center"/>
          </w:tcPr>
          <w:p w14:paraId="2A6A3D27"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Zadužnica broj OV-6898/2024</w:t>
            </w:r>
          </w:p>
        </w:tc>
        <w:tc>
          <w:tcPr>
            <w:tcW w:w="993" w:type="dxa"/>
            <w:tcBorders>
              <w:bottom w:val="single" w:sz="4" w:space="0" w:color="000000"/>
              <w:right w:val="single" w:sz="4" w:space="0" w:color="000000"/>
            </w:tcBorders>
            <w:shd w:val="clear" w:color="auto" w:fill="auto"/>
            <w:vAlign w:val="center"/>
          </w:tcPr>
          <w:p w14:paraId="48B8B970" w14:textId="77777777" w:rsidR="00CC333D" w:rsidRDefault="00000000">
            <w:pPr>
              <w:suppressAutoHyphens w:val="0"/>
              <w:spacing w:after="0" w:line="240" w:lineRule="auto"/>
              <w:jc w:val="right"/>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2.115,91</w:t>
            </w:r>
          </w:p>
        </w:tc>
        <w:tc>
          <w:tcPr>
            <w:tcW w:w="993" w:type="dxa"/>
            <w:tcBorders>
              <w:bottom w:val="single" w:sz="4" w:space="0" w:color="000000"/>
              <w:right w:val="single" w:sz="4" w:space="0" w:color="000000"/>
            </w:tcBorders>
            <w:shd w:val="clear" w:color="auto" w:fill="auto"/>
            <w:vAlign w:val="center"/>
          </w:tcPr>
          <w:p w14:paraId="71AEE755"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w:t>
            </w:r>
          </w:p>
        </w:tc>
        <w:tc>
          <w:tcPr>
            <w:tcW w:w="1176" w:type="dxa"/>
            <w:tcBorders>
              <w:bottom w:val="single" w:sz="4" w:space="0" w:color="000000"/>
              <w:right w:val="single" w:sz="4" w:space="0" w:color="000000"/>
            </w:tcBorders>
            <w:shd w:val="clear" w:color="auto" w:fill="auto"/>
            <w:vAlign w:val="center"/>
          </w:tcPr>
          <w:p w14:paraId="5DEDAC6D"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DALMAT d.o.o.</w:t>
            </w:r>
          </w:p>
        </w:tc>
        <w:tc>
          <w:tcPr>
            <w:tcW w:w="1049" w:type="dxa"/>
            <w:tcBorders>
              <w:bottom w:val="single" w:sz="4" w:space="0" w:color="000000"/>
              <w:right w:val="single" w:sz="4" w:space="0" w:color="000000"/>
            </w:tcBorders>
            <w:shd w:val="clear" w:color="auto" w:fill="auto"/>
            <w:vAlign w:val="center"/>
          </w:tcPr>
          <w:p w14:paraId="01FCB7E1"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o isporuci uredskog materijala ;URBROJ:01-2425/2024</w:t>
            </w:r>
          </w:p>
        </w:tc>
        <w:tc>
          <w:tcPr>
            <w:tcW w:w="868" w:type="dxa"/>
            <w:tcBorders>
              <w:bottom w:val="single" w:sz="4" w:space="0" w:color="000000"/>
              <w:right w:val="single" w:sz="4" w:space="0" w:color="000000"/>
            </w:tcBorders>
            <w:shd w:val="clear" w:color="auto" w:fill="auto"/>
            <w:vAlign w:val="center"/>
          </w:tcPr>
          <w:p w14:paraId="5726E3E4"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1 godina</w:t>
            </w:r>
          </w:p>
        </w:tc>
        <w:tc>
          <w:tcPr>
            <w:tcW w:w="778" w:type="dxa"/>
            <w:tcBorders>
              <w:bottom w:val="single" w:sz="4" w:space="0" w:color="000000"/>
              <w:right w:val="single" w:sz="4" w:space="0" w:color="000000"/>
            </w:tcBorders>
            <w:shd w:val="clear" w:color="auto" w:fill="auto"/>
            <w:vAlign w:val="center"/>
          </w:tcPr>
          <w:p w14:paraId="0A0181AB"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Dom zdravlja ZDŽ</w:t>
            </w:r>
          </w:p>
        </w:tc>
        <w:tc>
          <w:tcPr>
            <w:tcW w:w="913" w:type="dxa"/>
            <w:tcBorders>
              <w:bottom w:val="single" w:sz="4" w:space="0" w:color="000000"/>
              <w:right w:val="single" w:sz="4" w:space="0" w:color="000000"/>
            </w:tcBorders>
            <w:shd w:val="clear" w:color="auto" w:fill="auto"/>
            <w:vAlign w:val="center"/>
          </w:tcPr>
          <w:p w14:paraId="76D82D72"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w:t>
            </w:r>
          </w:p>
        </w:tc>
      </w:tr>
      <w:tr w:rsidR="00CC333D" w14:paraId="62641D2E" w14:textId="77777777">
        <w:trPr>
          <w:trHeight w:val="960"/>
        </w:trPr>
        <w:tc>
          <w:tcPr>
            <w:tcW w:w="599" w:type="dxa"/>
            <w:tcBorders>
              <w:left w:val="single" w:sz="4" w:space="0" w:color="000000"/>
              <w:bottom w:val="single" w:sz="4" w:space="0" w:color="000000"/>
              <w:right w:val="single" w:sz="4" w:space="0" w:color="000000"/>
            </w:tcBorders>
            <w:shd w:val="clear" w:color="auto" w:fill="auto"/>
            <w:vAlign w:val="center"/>
          </w:tcPr>
          <w:p w14:paraId="690D4A98"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6.</w:t>
            </w:r>
          </w:p>
        </w:tc>
        <w:tc>
          <w:tcPr>
            <w:tcW w:w="894" w:type="dxa"/>
            <w:tcBorders>
              <w:bottom w:val="single" w:sz="4" w:space="0" w:color="000000"/>
              <w:right w:val="single" w:sz="4" w:space="0" w:color="000000"/>
            </w:tcBorders>
            <w:shd w:val="clear" w:color="auto" w:fill="auto"/>
            <w:vAlign w:val="center"/>
          </w:tcPr>
          <w:p w14:paraId="3DF38E13"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4"/>
                <w:szCs w:val="14"/>
                <w:lang w:eastAsia="hr-HR"/>
              </w:rPr>
              <w:t>06.09.2024</w:t>
            </w:r>
            <w:r>
              <w:rPr>
                <w:rFonts w:ascii="Times New Roman" w:eastAsia="Times New Roman" w:hAnsi="Times New Roman" w:cs="Times New Roman"/>
                <w:color w:val="000000"/>
                <w:sz w:val="16"/>
                <w:szCs w:val="16"/>
                <w:lang w:eastAsia="hr-HR"/>
              </w:rPr>
              <w:t>.</w:t>
            </w:r>
          </w:p>
        </w:tc>
        <w:tc>
          <w:tcPr>
            <w:tcW w:w="916" w:type="dxa"/>
            <w:tcBorders>
              <w:bottom w:val="single" w:sz="4" w:space="0" w:color="000000"/>
              <w:right w:val="single" w:sz="4" w:space="0" w:color="000000"/>
            </w:tcBorders>
            <w:shd w:val="clear" w:color="auto" w:fill="auto"/>
            <w:vAlign w:val="center"/>
          </w:tcPr>
          <w:p w14:paraId="439E351C"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Bjanko zadužnica broj OV-8729/2024</w:t>
            </w:r>
          </w:p>
        </w:tc>
        <w:tc>
          <w:tcPr>
            <w:tcW w:w="993" w:type="dxa"/>
            <w:tcBorders>
              <w:bottom w:val="single" w:sz="4" w:space="0" w:color="000000"/>
              <w:right w:val="single" w:sz="4" w:space="0" w:color="000000"/>
            </w:tcBorders>
            <w:shd w:val="clear" w:color="auto" w:fill="auto"/>
            <w:vAlign w:val="center"/>
          </w:tcPr>
          <w:p w14:paraId="27685495" w14:textId="77777777" w:rsidR="00CC333D" w:rsidRDefault="00000000">
            <w:pPr>
              <w:suppressAutoHyphens w:val="0"/>
              <w:spacing w:after="0" w:line="240" w:lineRule="auto"/>
              <w:jc w:val="right"/>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2.000,00</w:t>
            </w:r>
          </w:p>
        </w:tc>
        <w:tc>
          <w:tcPr>
            <w:tcW w:w="993" w:type="dxa"/>
            <w:tcBorders>
              <w:bottom w:val="single" w:sz="4" w:space="0" w:color="000000"/>
              <w:right w:val="single" w:sz="4" w:space="0" w:color="000000"/>
            </w:tcBorders>
            <w:shd w:val="clear" w:color="auto" w:fill="auto"/>
            <w:vAlign w:val="center"/>
          </w:tcPr>
          <w:p w14:paraId="688190B3"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i otklanjanje nedostataka u jamstvenom roku</w:t>
            </w:r>
          </w:p>
        </w:tc>
        <w:tc>
          <w:tcPr>
            <w:tcW w:w="1176" w:type="dxa"/>
            <w:tcBorders>
              <w:bottom w:val="single" w:sz="4" w:space="0" w:color="000000"/>
              <w:right w:val="single" w:sz="4" w:space="0" w:color="000000"/>
            </w:tcBorders>
            <w:shd w:val="clear" w:color="auto" w:fill="auto"/>
            <w:vAlign w:val="center"/>
          </w:tcPr>
          <w:p w14:paraId="4D990230"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BISERNICA d.o.o.</w:t>
            </w:r>
          </w:p>
        </w:tc>
        <w:tc>
          <w:tcPr>
            <w:tcW w:w="1049" w:type="dxa"/>
            <w:tcBorders>
              <w:bottom w:val="single" w:sz="4" w:space="0" w:color="000000"/>
              <w:right w:val="single" w:sz="4" w:space="0" w:color="000000"/>
            </w:tcBorders>
            <w:shd w:val="clear" w:color="auto" w:fill="auto"/>
            <w:vAlign w:val="center"/>
          </w:tcPr>
          <w:p w14:paraId="01F5B924"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o isporuci tri (3) autoklava; URBROJ:01-2829/2024-1</w:t>
            </w:r>
          </w:p>
        </w:tc>
        <w:tc>
          <w:tcPr>
            <w:tcW w:w="868" w:type="dxa"/>
            <w:tcBorders>
              <w:bottom w:val="single" w:sz="4" w:space="0" w:color="000000"/>
              <w:right w:val="single" w:sz="4" w:space="0" w:color="000000"/>
            </w:tcBorders>
            <w:shd w:val="clear" w:color="auto" w:fill="auto"/>
            <w:vAlign w:val="center"/>
          </w:tcPr>
          <w:p w14:paraId="4ACC5B6A"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1 godina</w:t>
            </w:r>
          </w:p>
        </w:tc>
        <w:tc>
          <w:tcPr>
            <w:tcW w:w="778" w:type="dxa"/>
            <w:tcBorders>
              <w:bottom w:val="single" w:sz="4" w:space="0" w:color="000000"/>
              <w:right w:val="single" w:sz="4" w:space="0" w:color="000000"/>
            </w:tcBorders>
            <w:shd w:val="clear" w:color="auto" w:fill="auto"/>
            <w:vAlign w:val="center"/>
          </w:tcPr>
          <w:p w14:paraId="1CDBDA56"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Dom zdravlja ZDŽ</w:t>
            </w:r>
          </w:p>
        </w:tc>
        <w:tc>
          <w:tcPr>
            <w:tcW w:w="913" w:type="dxa"/>
            <w:tcBorders>
              <w:bottom w:val="single" w:sz="4" w:space="0" w:color="000000"/>
              <w:right w:val="single" w:sz="4" w:space="0" w:color="000000"/>
            </w:tcBorders>
            <w:shd w:val="clear" w:color="auto" w:fill="auto"/>
            <w:vAlign w:val="center"/>
          </w:tcPr>
          <w:p w14:paraId="3953E424"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w:t>
            </w:r>
          </w:p>
        </w:tc>
      </w:tr>
      <w:tr w:rsidR="00CC333D" w14:paraId="602314C8" w14:textId="77777777">
        <w:trPr>
          <w:trHeight w:val="900"/>
        </w:trPr>
        <w:tc>
          <w:tcPr>
            <w:tcW w:w="599" w:type="dxa"/>
            <w:tcBorders>
              <w:left w:val="single" w:sz="4" w:space="0" w:color="000000"/>
              <w:bottom w:val="single" w:sz="4" w:space="0" w:color="000000"/>
              <w:right w:val="single" w:sz="4" w:space="0" w:color="000000"/>
            </w:tcBorders>
            <w:shd w:val="clear" w:color="auto" w:fill="auto"/>
            <w:vAlign w:val="center"/>
          </w:tcPr>
          <w:p w14:paraId="35C06154"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7.</w:t>
            </w:r>
          </w:p>
        </w:tc>
        <w:tc>
          <w:tcPr>
            <w:tcW w:w="894" w:type="dxa"/>
            <w:tcBorders>
              <w:bottom w:val="single" w:sz="4" w:space="0" w:color="000000"/>
              <w:right w:val="single" w:sz="4" w:space="0" w:color="000000"/>
            </w:tcBorders>
            <w:shd w:val="clear" w:color="auto" w:fill="auto"/>
            <w:vAlign w:val="center"/>
          </w:tcPr>
          <w:p w14:paraId="30629168" w14:textId="77777777" w:rsidR="00CC333D" w:rsidRDefault="00000000">
            <w:pPr>
              <w:suppressAutoHyphens w:val="0"/>
              <w:spacing w:after="0" w:line="240" w:lineRule="auto"/>
              <w:rPr>
                <w:rFonts w:ascii="Times New Roman" w:eastAsia="Times New Roman" w:hAnsi="Times New Roman" w:cs="Times New Roman"/>
                <w:color w:val="000000"/>
                <w:sz w:val="14"/>
                <w:szCs w:val="14"/>
                <w:lang w:eastAsia="hr-HR"/>
              </w:rPr>
            </w:pPr>
            <w:r>
              <w:rPr>
                <w:rFonts w:ascii="Times New Roman" w:eastAsia="Times New Roman" w:hAnsi="Times New Roman" w:cs="Times New Roman"/>
                <w:color w:val="000000"/>
                <w:sz w:val="14"/>
                <w:szCs w:val="14"/>
                <w:lang w:eastAsia="hr-HR"/>
              </w:rPr>
              <w:t>09.12.2024.</w:t>
            </w:r>
          </w:p>
        </w:tc>
        <w:tc>
          <w:tcPr>
            <w:tcW w:w="916" w:type="dxa"/>
            <w:tcBorders>
              <w:bottom w:val="single" w:sz="4" w:space="0" w:color="000000"/>
              <w:right w:val="single" w:sz="4" w:space="0" w:color="000000"/>
            </w:tcBorders>
            <w:shd w:val="clear" w:color="auto" w:fill="auto"/>
            <w:vAlign w:val="center"/>
          </w:tcPr>
          <w:p w14:paraId="50711DF8"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Bjanko zadužnica broj OV-4310/2024</w:t>
            </w:r>
          </w:p>
        </w:tc>
        <w:tc>
          <w:tcPr>
            <w:tcW w:w="993" w:type="dxa"/>
            <w:tcBorders>
              <w:bottom w:val="single" w:sz="4" w:space="0" w:color="000000"/>
              <w:right w:val="single" w:sz="4" w:space="0" w:color="000000"/>
            </w:tcBorders>
            <w:shd w:val="clear" w:color="auto" w:fill="auto"/>
            <w:vAlign w:val="center"/>
          </w:tcPr>
          <w:p w14:paraId="1E978F1C" w14:textId="77777777" w:rsidR="00CC333D" w:rsidRDefault="00000000">
            <w:pPr>
              <w:suppressAutoHyphens w:val="0"/>
              <w:spacing w:after="0" w:line="240" w:lineRule="auto"/>
              <w:jc w:val="right"/>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10.000,00</w:t>
            </w:r>
          </w:p>
        </w:tc>
        <w:tc>
          <w:tcPr>
            <w:tcW w:w="993" w:type="dxa"/>
            <w:tcBorders>
              <w:bottom w:val="single" w:sz="4" w:space="0" w:color="000000"/>
              <w:right w:val="single" w:sz="4" w:space="0" w:color="000000"/>
            </w:tcBorders>
            <w:shd w:val="clear" w:color="auto" w:fill="auto"/>
            <w:vAlign w:val="center"/>
          </w:tcPr>
          <w:p w14:paraId="3759DABF"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i otklanjanje nedostataka u jamstvenom roku</w:t>
            </w:r>
          </w:p>
        </w:tc>
        <w:tc>
          <w:tcPr>
            <w:tcW w:w="1176" w:type="dxa"/>
            <w:tcBorders>
              <w:bottom w:val="single" w:sz="4" w:space="0" w:color="000000"/>
              <w:right w:val="single" w:sz="4" w:space="0" w:color="000000"/>
            </w:tcBorders>
            <w:shd w:val="clear" w:color="auto" w:fill="auto"/>
            <w:vAlign w:val="center"/>
          </w:tcPr>
          <w:p w14:paraId="0D29A65C"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KARDIAN d.o.o.</w:t>
            </w:r>
          </w:p>
        </w:tc>
        <w:tc>
          <w:tcPr>
            <w:tcW w:w="1049" w:type="dxa"/>
            <w:tcBorders>
              <w:bottom w:val="single" w:sz="4" w:space="0" w:color="000000"/>
              <w:right w:val="single" w:sz="4" w:space="0" w:color="000000"/>
            </w:tcBorders>
            <w:shd w:val="clear" w:color="auto" w:fill="auto"/>
            <w:vAlign w:val="center"/>
          </w:tcPr>
          <w:p w14:paraId="11DFCA27"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o isporuci tri (3) autoklava; URBROJ:01-3955/2024</w:t>
            </w:r>
          </w:p>
        </w:tc>
        <w:tc>
          <w:tcPr>
            <w:tcW w:w="868" w:type="dxa"/>
            <w:tcBorders>
              <w:bottom w:val="single" w:sz="4" w:space="0" w:color="000000"/>
              <w:right w:val="single" w:sz="4" w:space="0" w:color="000000"/>
            </w:tcBorders>
            <w:shd w:val="clear" w:color="auto" w:fill="auto"/>
            <w:vAlign w:val="center"/>
          </w:tcPr>
          <w:p w14:paraId="515AEC85"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2 godine</w:t>
            </w:r>
          </w:p>
        </w:tc>
        <w:tc>
          <w:tcPr>
            <w:tcW w:w="778" w:type="dxa"/>
            <w:tcBorders>
              <w:bottom w:val="single" w:sz="4" w:space="0" w:color="000000"/>
              <w:right w:val="single" w:sz="4" w:space="0" w:color="000000"/>
            </w:tcBorders>
            <w:shd w:val="clear" w:color="auto" w:fill="auto"/>
            <w:vAlign w:val="center"/>
          </w:tcPr>
          <w:p w14:paraId="2830868E"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Dom zdravlja ZDŽ</w:t>
            </w:r>
          </w:p>
        </w:tc>
        <w:tc>
          <w:tcPr>
            <w:tcW w:w="913" w:type="dxa"/>
            <w:tcBorders>
              <w:bottom w:val="single" w:sz="4" w:space="0" w:color="000000"/>
              <w:right w:val="single" w:sz="4" w:space="0" w:color="000000"/>
            </w:tcBorders>
            <w:shd w:val="clear" w:color="auto" w:fill="auto"/>
            <w:vAlign w:val="center"/>
          </w:tcPr>
          <w:p w14:paraId="68A6C010"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w:t>
            </w:r>
          </w:p>
        </w:tc>
      </w:tr>
      <w:tr w:rsidR="00CC333D" w14:paraId="6FA5F687" w14:textId="77777777">
        <w:trPr>
          <w:trHeight w:val="996"/>
        </w:trPr>
        <w:tc>
          <w:tcPr>
            <w:tcW w:w="599" w:type="dxa"/>
            <w:tcBorders>
              <w:left w:val="single" w:sz="4" w:space="0" w:color="000000"/>
              <w:bottom w:val="single" w:sz="4" w:space="0" w:color="000000"/>
              <w:right w:val="single" w:sz="4" w:space="0" w:color="000000"/>
            </w:tcBorders>
            <w:shd w:val="clear" w:color="auto" w:fill="auto"/>
            <w:vAlign w:val="center"/>
          </w:tcPr>
          <w:p w14:paraId="3CE116DF"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8.</w:t>
            </w:r>
          </w:p>
        </w:tc>
        <w:tc>
          <w:tcPr>
            <w:tcW w:w="894" w:type="dxa"/>
            <w:tcBorders>
              <w:bottom w:val="single" w:sz="4" w:space="0" w:color="000000"/>
              <w:right w:val="single" w:sz="4" w:space="0" w:color="000000"/>
            </w:tcBorders>
            <w:shd w:val="clear" w:color="auto" w:fill="auto"/>
            <w:vAlign w:val="center"/>
          </w:tcPr>
          <w:p w14:paraId="2237372A"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4"/>
                <w:szCs w:val="14"/>
                <w:lang w:eastAsia="hr-HR"/>
              </w:rPr>
              <w:t>02.10.2024</w:t>
            </w:r>
            <w:r>
              <w:rPr>
                <w:rFonts w:ascii="Times New Roman" w:eastAsia="Times New Roman" w:hAnsi="Times New Roman" w:cs="Times New Roman"/>
                <w:color w:val="000000"/>
                <w:sz w:val="16"/>
                <w:szCs w:val="16"/>
                <w:lang w:eastAsia="hr-HR"/>
              </w:rPr>
              <w:t>.</w:t>
            </w:r>
          </w:p>
        </w:tc>
        <w:tc>
          <w:tcPr>
            <w:tcW w:w="916" w:type="dxa"/>
            <w:tcBorders>
              <w:bottom w:val="single" w:sz="4" w:space="0" w:color="000000"/>
              <w:right w:val="single" w:sz="4" w:space="0" w:color="000000"/>
            </w:tcBorders>
            <w:shd w:val="clear" w:color="auto" w:fill="auto"/>
            <w:vAlign w:val="center"/>
          </w:tcPr>
          <w:p w14:paraId="3B4C0B0B"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Bjanko zadužnica broj OV-782/2024</w:t>
            </w:r>
          </w:p>
        </w:tc>
        <w:tc>
          <w:tcPr>
            <w:tcW w:w="993" w:type="dxa"/>
            <w:tcBorders>
              <w:bottom w:val="single" w:sz="4" w:space="0" w:color="000000"/>
              <w:right w:val="single" w:sz="4" w:space="0" w:color="000000"/>
            </w:tcBorders>
            <w:shd w:val="clear" w:color="auto" w:fill="auto"/>
            <w:vAlign w:val="center"/>
          </w:tcPr>
          <w:p w14:paraId="6F507518" w14:textId="77777777" w:rsidR="00CC333D" w:rsidRDefault="00000000">
            <w:pPr>
              <w:suppressAutoHyphens w:val="0"/>
              <w:spacing w:after="0" w:line="240" w:lineRule="auto"/>
              <w:jc w:val="right"/>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10.000,00</w:t>
            </w:r>
          </w:p>
        </w:tc>
        <w:tc>
          <w:tcPr>
            <w:tcW w:w="993" w:type="dxa"/>
            <w:tcBorders>
              <w:bottom w:val="single" w:sz="4" w:space="0" w:color="000000"/>
              <w:right w:val="single" w:sz="4" w:space="0" w:color="000000"/>
            </w:tcBorders>
            <w:shd w:val="clear" w:color="auto" w:fill="auto"/>
            <w:vAlign w:val="center"/>
          </w:tcPr>
          <w:p w14:paraId="7CA8FA39"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i otklanjanje nedostataka u jamstvenom roku</w:t>
            </w:r>
          </w:p>
        </w:tc>
        <w:tc>
          <w:tcPr>
            <w:tcW w:w="1176" w:type="dxa"/>
            <w:tcBorders>
              <w:bottom w:val="single" w:sz="4" w:space="0" w:color="000000"/>
              <w:right w:val="single" w:sz="4" w:space="0" w:color="000000"/>
            </w:tcBorders>
            <w:shd w:val="clear" w:color="auto" w:fill="auto"/>
            <w:vAlign w:val="center"/>
          </w:tcPr>
          <w:p w14:paraId="79945B1C"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MEDIA d.o.o.</w:t>
            </w:r>
          </w:p>
        </w:tc>
        <w:tc>
          <w:tcPr>
            <w:tcW w:w="1049" w:type="dxa"/>
            <w:tcBorders>
              <w:bottom w:val="single" w:sz="4" w:space="0" w:color="000000"/>
              <w:right w:val="single" w:sz="4" w:space="0" w:color="000000"/>
            </w:tcBorders>
            <w:shd w:val="clear" w:color="auto" w:fill="auto"/>
            <w:vAlign w:val="center"/>
          </w:tcPr>
          <w:p w14:paraId="4B782B7F" w14:textId="77777777" w:rsidR="00CC333D" w:rsidRDefault="00000000">
            <w:pPr>
              <w:suppressAutoHyphens w:val="0"/>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Jamstvo za uredno ispunjenje ugovora i jamstvo za otklanjanje nedostataka evidencijski broj MV-8-24; URBROJ:01-3955/2024</w:t>
            </w:r>
          </w:p>
        </w:tc>
        <w:tc>
          <w:tcPr>
            <w:tcW w:w="868" w:type="dxa"/>
            <w:tcBorders>
              <w:bottom w:val="single" w:sz="4" w:space="0" w:color="000000"/>
              <w:right w:val="single" w:sz="4" w:space="0" w:color="000000"/>
            </w:tcBorders>
            <w:shd w:val="clear" w:color="auto" w:fill="auto"/>
            <w:vAlign w:val="center"/>
          </w:tcPr>
          <w:p w14:paraId="5C297762"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3 godine</w:t>
            </w:r>
          </w:p>
        </w:tc>
        <w:tc>
          <w:tcPr>
            <w:tcW w:w="778" w:type="dxa"/>
            <w:tcBorders>
              <w:bottom w:val="single" w:sz="4" w:space="0" w:color="000000"/>
              <w:right w:val="single" w:sz="4" w:space="0" w:color="000000"/>
            </w:tcBorders>
            <w:shd w:val="clear" w:color="auto" w:fill="auto"/>
            <w:vAlign w:val="center"/>
          </w:tcPr>
          <w:p w14:paraId="3DD5D90C" w14:textId="77777777" w:rsidR="00CC333D" w:rsidRDefault="00000000">
            <w:pPr>
              <w:suppressAutoHyphens w:val="0"/>
              <w:spacing w:after="0" w:line="240" w:lineRule="auto"/>
              <w:jc w:val="center"/>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Dom zdravlja ZDŽ</w:t>
            </w:r>
          </w:p>
        </w:tc>
        <w:tc>
          <w:tcPr>
            <w:tcW w:w="913" w:type="dxa"/>
            <w:tcBorders>
              <w:bottom w:val="single" w:sz="4" w:space="0" w:color="000000"/>
              <w:right w:val="single" w:sz="4" w:space="0" w:color="000000"/>
            </w:tcBorders>
            <w:shd w:val="clear" w:color="auto" w:fill="auto"/>
            <w:vAlign w:val="center"/>
          </w:tcPr>
          <w:p w14:paraId="4FF47128"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w:t>
            </w:r>
          </w:p>
        </w:tc>
      </w:tr>
      <w:tr w:rsidR="00CC333D" w14:paraId="2041E137" w14:textId="77777777">
        <w:trPr>
          <w:trHeight w:val="288"/>
        </w:trPr>
        <w:tc>
          <w:tcPr>
            <w:tcW w:w="599" w:type="dxa"/>
            <w:tcBorders>
              <w:left w:val="single" w:sz="4" w:space="0" w:color="000000"/>
              <w:bottom w:val="single" w:sz="4" w:space="0" w:color="000000"/>
              <w:right w:val="single" w:sz="4" w:space="0" w:color="000000"/>
            </w:tcBorders>
            <w:shd w:val="clear" w:color="auto" w:fill="auto"/>
            <w:vAlign w:val="bottom"/>
          </w:tcPr>
          <w:p w14:paraId="4CEF8191" w14:textId="77777777" w:rsidR="00CC333D" w:rsidRDefault="00CC333D">
            <w:pPr>
              <w:suppressAutoHyphens w:val="0"/>
              <w:spacing w:after="0" w:line="240" w:lineRule="auto"/>
              <w:rPr>
                <w:rFonts w:ascii="Calibri" w:eastAsia="Times New Roman" w:hAnsi="Calibri" w:cs="Calibri"/>
                <w:color w:val="000000"/>
                <w:lang w:eastAsia="hr-HR"/>
              </w:rPr>
            </w:pPr>
          </w:p>
        </w:tc>
        <w:tc>
          <w:tcPr>
            <w:tcW w:w="894" w:type="dxa"/>
            <w:tcBorders>
              <w:bottom w:val="single" w:sz="4" w:space="0" w:color="000000"/>
              <w:right w:val="single" w:sz="4" w:space="0" w:color="000000"/>
            </w:tcBorders>
            <w:shd w:val="clear" w:color="auto" w:fill="auto"/>
            <w:vAlign w:val="bottom"/>
          </w:tcPr>
          <w:p w14:paraId="1B4A8081" w14:textId="77777777" w:rsidR="00CC333D" w:rsidRDefault="00CC333D">
            <w:pPr>
              <w:suppressAutoHyphens w:val="0"/>
              <w:spacing w:after="0" w:line="240" w:lineRule="auto"/>
              <w:rPr>
                <w:rFonts w:ascii="Calibri" w:eastAsia="Times New Roman" w:hAnsi="Calibri" w:cs="Calibri"/>
                <w:color w:val="000000"/>
                <w:lang w:eastAsia="hr-HR"/>
              </w:rPr>
            </w:pPr>
          </w:p>
        </w:tc>
        <w:tc>
          <w:tcPr>
            <w:tcW w:w="916" w:type="dxa"/>
            <w:tcBorders>
              <w:bottom w:val="single" w:sz="4" w:space="0" w:color="000000"/>
              <w:right w:val="single" w:sz="4" w:space="0" w:color="000000"/>
            </w:tcBorders>
            <w:shd w:val="clear" w:color="auto" w:fill="auto"/>
            <w:vAlign w:val="center"/>
          </w:tcPr>
          <w:p w14:paraId="14308CC3" w14:textId="77777777" w:rsidR="00CC333D" w:rsidRDefault="00000000">
            <w:pPr>
              <w:suppressAutoHyphens w:val="0"/>
              <w:spacing w:after="0" w:line="240" w:lineRule="auto"/>
              <w:jc w:val="center"/>
              <w:rPr>
                <w:rFonts w:ascii="Times New Roman" w:eastAsia="Times New Roman" w:hAnsi="Times New Roman" w:cs="Times New Roman"/>
                <w:b/>
                <w:bCs/>
                <w:color w:val="000000"/>
                <w:sz w:val="16"/>
                <w:szCs w:val="16"/>
                <w:lang w:eastAsia="hr-HR"/>
              </w:rPr>
            </w:pPr>
            <w:r>
              <w:rPr>
                <w:rFonts w:ascii="Times New Roman" w:eastAsia="Times New Roman" w:hAnsi="Times New Roman" w:cs="Times New Roman"/>
                <w:b/>
                <w:bCs/>
                <w:color w:val="000000"/>
                <w:sz w:val="16"/>
                <w:szCs w:val="16"/>
                <w:lang w:eastAsia="hr-HR"/>
              </w:rPr>
              <w:t>Ukupno:</w:t>
            </w:r>
          </w:p>
        </w:tc>
        <w:tc>
          <w:tcPr>
            <w:tcW w:w="993" w:type="dxa"/>
            <w:tcBorders>
              <w:bottom w:val="single" w:sz="4" w:space="0" w:color="000000"/>
              <w:right w:val="single" w:sz="4" w:space="0" w:color="000000"/>
            </w:tcBorders>
            <w:shd w:val="clear" w:color="auto" w:fill="auto"/>
            <w:vAlign w:val="bottom"/>
          </w:tcPr>
          <w:p w14:paraId="2594DBA6" w14:textId="77777777" w:rsidR="00CC333D" w:rsidRDefault="00000000">
            <w:pPr>
              <w:suppressAutoHyphens w:val="0"/>
              <w:spacing w:after="0" w:line="240" w:lineRule="auto"/>
              <w:jc w:val="center"/>
              <w:rPr>
                <w:rFonts w:ascii="Times New Roman" w:eastAsia="Times New Roman" w:hAnsi="Times New Roman" w:cs="Times New Roman"/>
                <w:b/>
                <w:bCs/>
                <w:color w:val="000000"/>
                <w:sz w:val="16"/>
                <w:szCs w:val="16"/>
                <w:lang w:eastAsia="hr-HR"/>
              </w:rPr>
            </w:pPr>
            <w:r>
              <w:rPr>
                <w:rFonts w:ascii="Times New Roman" w:eastAsia="Times New Roman" w:hAnsi="Times New Roman" w:cs="Times New Roman"/>
                <w:b/>
                <w:bCs/>
                <w:color w:val="000000"/>
                <w:sz w:val="16"/>
                <w:szCs w:val="16"/>
                <w:lang w:eastAsia="hr-HR"/>
              </w:rPr>
              <w:t>114.964,87</w:t>
            </w:r>
          </w:p>
        </w:tc>
        <w:tc>
          <w:tcPr>
            <w:tcW w:w="993" w:type="dxa"/>
            <w:tcBorders>
              <w:bottom w:val="single" w:sz="4" w:space="0" w:color="000000"/>
              <w:right w:val="single" w:sz="4" w:space="0" w:color="000000"/>
            </w:tcBorders>
            <w:shd w:val="clear" w:color="auto" w:fill="auto"/>
            <w:vAlign w:val="bottom"/>
          </w:tcPr>
          <w:p w14:paraId="5ABB3BBB" w14:textId="77777777" w:rsidR="00CC333D" w:rsidRDefault="00CC333D">
            <w:pPr>
              <w:suppressAutoHyphens w:val="0"/>
              <w:spacing w:after="0" w:line="240" w:lineRule="auto"/>
              <w:rPr>
                <w:rFonts w:ascii="Calibri" w:eastAsia="Times New Roman" w:hAnsi="Calibri" w:cs="Calibri"/>
                <w:color w:val="000000"/>
                <w:lang w:eastAsia="hr-HR"/>
              </w:rPr>
            </w:pPr>
          </w:p>
        </w:tc>
        <w:tc>
          <w:tcPr>
            <w:tcW w:w="1176" w:type="dxa"/>
            <w:tcBorders>
              <w:bottom w:val="single" w:sz="4" w:space="0" w:color="000000"/>
              <w:right w:val="single" w:sz="4" w:space="0" w:color="000000"/>
            </w:tcBorders>
            <w:shd w:val="clear" w:color="auto" w:fill="auto"/>
            <w:vAlign w:val="bottom"/>
          </w:tcPr>
          <w:p w14:paraId="5BEF5943" w14:textId="77777777" w:rsidR="00CC333D" w:rsidRDefault="00CC333D">
            <w:pPr>
              <w:suppressAutoHyphens w:val="0"/>
              <w:spacing w:after="0" w:line="240" w:lineRule="auto"/>
              <w:rPr>
                <w:rFonts w:ascii="Calibri" w:eastAsia="Times New Roman" w:hAnsi="Calibri" w:cs="Calibri"/>
                <w:color w:val="000000"/>
                <w:lang w:eastAsia="hr-HR"/>
              </w:rPr>
            </w:pPr>
          </w:p>
        </w:tc>
        <w:tc>
          <w:tcPr>
            <w:tcW w:w="1049" w:type="dxa"/>
            <w:tcBorders>
              <w:bottom w:val="single" w:sz="4" w:space="0" w:color="000000"/>
              <w:right w:val="single" w:sz="4" w:space="0" w:color="000000"/>
            </w:tcBorders>
            <w:shd w:val="clear" w:color="auto" w:fill="auto"/>
            <w:vAlign w:val="bottom"/>
          </w:tcPr>
          <w:p w14:paraId="08404180" w14:textId="77777777" w:rsidR="00CC333D" w:rsidRDefault="00CC333D">
            <w:pPr>
              <w:suppressAutoHyphens w:val="0"/>
              <w:spacing w:after="0" w:line="240" w:lineRule="auto"/>
              <w:rPr>
                <w:rFonts w:ascii="Calibri" w:eastAsia="Times New Roman" w:hAnsi="Calibri" w:cs="Calibri"/>
                <w:color w:val="000000"/>
                <w:lang w:eastAsia="hr-HR"/>
              </w:rPr>
            </w:pPr>
          </w:p>
        </w:tc>
        <w:tc>
          <w:tcPr>
            <w:tcW w:w="868" w:type="dxa"/>
            <w:tcBorders>
              <w:bottom w:val="single" w:sz="4" w:space="0" w:color="000000"/>
              <w:right w:val="single" w:sz="4" w:space="0" w:color="000000"/>
            </w:tcBorders>
            <w:shd w:val="clear" w:color="auto" w:fill="auto"/>
            <w:vAlign w:val="bottom"/>
          </w:tcPr>
          <w:p w14:paraId="241D7D08" w14:textId="77777777" w:rsidR="00CC333D" w:rsidRDefault="00CC333D">
            <w:pPr>
              <w:suppressAutoHyphens w:val="0"/>
              <w:spacing w:after="0" w:line="240" w:lineRule="auto"/>
              <w:rPr>
                <w:rFonts w:ascii="Calibri" w:eastAsia="Times New Roman" w:hAnsi="Calibri" w:cs="Calibri"/>
                <w:color w:val="000000"/>
                <w:lang w:eastAsia="hr-HR"/>
              </w:rPr>
            </w:pPr>
          </w:p>
        </w:tc>
        <w:tc>
          <w:tcPr>
            <w:tcW w:w="778" w:type="dxa"/>
            <w:tcBorders>
              <w:bottom w:val="single" w:sz="4" w:space="0" w:color="000000"/>
              <w:right w:val="single" w:sz="4" w:space="0" w:color="000000"/>
            </w:tcBorders>
            <w:shd w:val="clear" w:color="auto" w:fill="auto"/>
            <w:vAlign w:val="bottom"/>
          </w:tcPr>
          <w:p w14:paraId="1A5251DB" w14:textId="77777777" w:rsidR="00CC333D" w:rsidRDefault="00CC333D">
            <w:pPr>
              <w:suppressAutoHyphens w:val="0"/>
              <w:spacing w:after="0" w:line="240" w:lineRule="auto"/>
              <w:rPr>
                <w:rFonts w:ascii="Calibri" w:eastAsia="Times New Roman" w:hAnsi="Calibri" w:cs="Calibri"/>
                <w:color w:val="000000"/>
                <w:lang w:eastAsia="hr-HR"/>
              </w:rPr>
            </w:pPr>
          </w:p>
        </w:tc>
        <w:tc>
          <w:tcPr>
            <w:tcW w:w="913" w:type="dxa"/>
            <w:tcBorders>
              <w:bottom w:val="single" w:sz="4" w:space="0" w:color="000000"/>
              <w:right w:val="single" w:sz="4" w:space="0" w:color="000000"/>
            </w:tcBorders>
            <w:shd w:val="clear" w:color="auto" w:fill="auto"/>
            <w:vAlign w:val="bottom"/>
          </w:tcPr>
          <w:p w14:paraId="631B1001" w14:textId="77777777" w:rsidR="00CC333D" w:rsidRDefault="00CC333D">
            <w:pPr>
              <w:suppressAutoHyphens w:val="0"/>
              <w:spacing w:after="0" w:line="240" w:lineRule="auto"/>
              <w:rPr>
                <w:rFonts w:ascii="Calibri" w:eastAsia="Times New Roman" w:hAnsi="Calibri" w:cs="Calibri"/>
                <w:color w:val="000000"/>
                <w:lang w:eastAsia="hr-HR"/>
              </w:rPr>
            </w:pPr>
          </w:p>
        </w:tc>
      </w:tr>
    </w:tbl>
    <w:p w14:paraId="1A69AF35" w14:textId="77777777" w:rsidR="00CC333D" w:rsidRDefault="00CC333D">
      <w:pPr>
        <w:pStyle w:val="Bezproreda"/>
        <w:ind w:left="708"/>
        <w:jc w:val="both"/>
        <w:rPr>
          <w:rFonts w:ascii="Times New Roman" w:hAnsi="Times New Roman" w:cs="Times New Roman"/>
          <w:sz w:val="24"/>
          <w:szCs w:val="24"/>
        </w:rPr>
      </w:pPr>
    </w:p>
    <w:p w14:paraId="63734EE1" w14:textId="77777777" w:rsidR="00CC333D" w:rsidRDefault="00CC333D">
      <w:pPr>
        <w:pStyle w:val="Bezproreda"/>
        <w:jc w:val="both"/>
        <w:rPr>
          <w:rFonts w:ascii="Times New Roman" w:hAnsi="Times New Roman" w:cs="Times New Roman"/>
          <w:sz w:val="24"/>
          <w:szCs w:val="24"/>
        </w:rPr>
      </w:pPr>
    </w:p>
    <w:p w14:paraId="59A60AA4" w14:textId="77777777" w:rsidR="00CC333D" w:rsidRDefault="00CC333D">
      <w:pPr>
        <w:pStyle w:val="Bezproreda"/>
        <w:jc w:val="both"/>
        <w:rPr>
          <w:rFonts w:ascii="Times New Roman" w:hAnsi="Times New Roman" w:cs="Times New Roman"/>
          <w:sz w:val="24"/>
          <w:szCs w:val="24"/>
        </w:rPr>
      </w:pPr>
    </w:p>
    <w:p w14:paraId="51F32DEA" w14:textId="77777777" w:rsidR="00CC333D" w:rsidRDefault="00CC333D">
      <w:pPr>
        <w:pStyle w:val="Bezproreda"/>
        <w:jc w:val="both"/>
        <w:rPr>
          <w:rFonts w:ascii="Times New Roman" w:hAnsi="Times New Roman" w:cs="Times New Roman"/>
          <w:sz w:val="24"/>
          <w:szCs w:val="24"/>
        </w:rPr>
      </w:pPr>
    </w:p>
    <w:p w14:paraId="4B7CA337" w14:textId="77777777" w:rsidR="00CC333D" w:rsidRDefault="00CC333D">
      <w:pPr>
        <w:pStyle w:val="Bezproreda"/>
        <w:jc w:val="both"/>
        <w:rPr>
          <w:rFonts w:ascii="Times New Roman" w:hAnsi="Times New Roman" w:cs="Times New Roman"/>
          <w:sz w:val="24"/>
          <w:szCs w:val="24"/>
        </w:rPr>
      </w:pPr>
    </w:p>
    <w:p w14:paraId="078E593D" w14:textId="77777777" w:rsidR="00CC333D" w:rsidRDefault="00CC333D">
      <w:pPr>
        <w:pStyle w:val="Bezproreda"/>
        <w:jc w:val="both"/>
        <w:rPr>
          <w:rFonts w:ascii="Times New Roman" w:hAnsi="Times New Roman" w:cs="Times New Roman"/>
          <w:sz w:val="24"/>
          <w:szCs w:val="24"/>
        </w:rPr>
      </w:pPr>
    </w:p>
    <w:tbl>
      <w:tblPr>
        <w:tblW w:w="9180" w:type="dxa"/>
        <w:tblInd w:w="109" w:type="dxa"/>
        <w:tblLayout w:type="fixed"/>
        <w:tblLook w:val="04A0" w:firstRow="1" w:lastRow="0" w:firstColumn="1" w:lastColumn="0" w:noHBand="0" w:noVBand="1"/>
      </w:tblPr>
      <w:tblGrid>
        <w:gridCol w:w="575"/>
        <w:gridCol w:w="882"/>
        <w:gridCol w:w="953"/>
        <w:gridCol w:w="993"/>
        <w:gridCol w:w="919"/>
        <w:gridCol w:w="817"/>
        <w:gridCol w:w="984"/>
        <w:gridCol w:w="675"/>
        <w:gridCol w:w="1519"/>
        <w:gridCol w:w="863"/>
      </w:tblGrid>
      <w:tr w:rsidR="00CC333D" w14:paraId="1DAAF890" w14:textId="77777777">
        <w:trPr>
          <w:trHeight w:val="312"/>
        </w:trPr>
        <w:tc>
          <w:tcPr>
            <w:tcW w:w="9179" w:type="dxa"/>
            <w:gridSpan w:val="10"/>
            <w:shd w:val="clear" w:color="auto" w:fill="auto"/>
            <w:vAlign w:val="bottom"/>
          </w:tcPr>
          <w:p w14:paraId="7B022DFB" w14:textId="77777777" w:rsidR="00CC333D" w:rsidRDefault="00000000">
            <w:pPr>
              <w:suppressAutoHyphens w:val="0"/>
              <w:spacing w:after="0" w:line="240" w:lineRule="auto"/>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POPIS UGOVORNIH ODNOSA KOJI MOGU POSTATI OBVEZA (DANA JAMSTVA i slično)</w:t>
            </w:r>
          </w:p>
        </w:tc>
      </w:tr>
      <w:tr w:rsidR="00CC333D" w14:paraId="12030EDD" w14:textId="77777777">
        <w:trPr>
          <w:trHeight w:val="732"/>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61E3"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Redni broj</w:t>
            </w:r>
          </w:p>
        </w:tc>
        <w:tc>
          <w:tcPr>
            <w:tcW w:w="882" w:type="dxa"/>
            <w:tcBorders>
              <w:top w:val="single" w:sz="4" w:space="0" w:color="000000"/>
              <w:bottom w:val="single" w:sz="4" w:space="0" w:color="000000"/>
              <w:right w:val="single" w:sz="4" w:space="0" w:color="000000"/>
            </w:tcBorders>
            <w:shd w:val="clear" w:color="auto" w:fill="auto"/>
            <w:vAlign w:val="center"/>
          </w:tcPr>
          <w:p w14:paraId="19CE1670"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Datum izdavanja jamstva</w:t>
            </w:r>
          </w:p>
        </w:tc>
        <w:tc>
          <w:tcPr>
            <w:tcW w:w="953" w:type="dxa"/>
            <w:tcBorders>
              <w:top w:val="single" w:sz="4" w:space="0" w:color="000000"/>
              <w:bottom w:val="single" w:sz="4" w:space="0" w:color="000000"/>
              <w:right w:val="single" w:sz="4" w:space="0" w:color="000000"/>
            </w:tcBorders>
            <w:shd w:val="clear" w:color="auto" w:fill="auto"/>
            <w:vAlign w:val="center"/>
          </w:tcPr>
          <w:p w14:paraId="123F796B"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Vrsta jamstva</w:t>
            </w:r>
          </w:p>
        </w:tc>
        <w:tc>
          <w:tcPr>
            <w:tcW w:w="993" w:type="dxa"/>
            <w:tcBorders>
              <w:top w:val="single" w:sz="4" w:space="0" w:color="000000"/>
              <w:bottom w:val="single" w:sz="4" w:space="0" w:color="000000"/>
              <w:right w:val="single" w:sz="4" w:space="0" w:color="000000"/>
            </w:tcBorders>
            <w:shd w:val="clear" w:color="auto" w:fill="auto"/>
            <w:vAlign w:val="center"/>
          </w:tcPr>
          <w:p w14:paraId="2821B03A" w14:textId="77777777" w:rsidR="00CC333D" w:rsidRDefault="00000000">
            <w:pPr>
              <w:suppressAutoHyphens w:val="0"/>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Valuta jamstva u EUR</w:t>
            </w:r>
          </w:p>
        </w:tc>
        <w:tc>
          <w:tcPr>
            <w:tcW w:w="919" w:type="dxa"/>
            <w:tcBorders>
              <w:top w:val="single" w:sz="4" w:space="0" w:color="000000"/>
              <w:bottom w:val="single" w:sz="4" w:space="0" w:color="000000"/>
              <w:right w:val="single" w:sz="4" w:space="0" w:color="000000"/>
            </w:tcBorders>
            <w:shd w:val="clear" w:color="auto" w:fill="auto"/>
            <w:vAlign w:val="center"/>
          </w:tcPr>
          <w:p w14:paraId="2F7256F2"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Namjena jamstva</w:t>
            </w:r>
          </w:p>
        </w:tc>
        <w:tc>
          <w:tcPr>
            <w:tcW w:w="817" w:type="dxa"/>
            <w:tcBorders>
              <w:top w:val="single" w:sz="4" w:space="0" w:color="000000"/>
              <w:bottom w:val="single" w:sz="4" w:space="0" w:color="000000"/>
              <w:right w:val="single" w:sz="4" w:space="0" w:color="000000"/>
            </w:tcBorders>
            <w:shd w:val="clear" w:color="auto" w:fill="auto"/>
            <w:vAlign w:val="center"/>
          </w:tcPr>
          <w:p w14:paraId="507E4C64"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Izdavatelj jamstva</w:t>
            </w:r>
          </w:p>
        </w:tc>
        <w:tc>
          <w:tcPr>
            <w:tcW w:w="984" w:type="dxa"/>
            <w:tcBorders>
              <w:top w:val="single" w:sz="4" w:space="0" w:color="000000"/>
              <w:bottom w:val="single" w:sz="4" w:space="0" w:color="000000"/>
              <w:right w:val="single" w:sz="4" w:space="0" w:color="000000"/>
            </w:tcBorders>
            <w:shd w:val="clear" w:color="auto" w:fill="auto"/>
            <w:vAlign w:val="center"/>
          </w:tcPr>
          <w:p w14:paraId="1845874D"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Dokument (npr.ugovor)</w:t>
            </w:r>
          </w:p>
        </w:tc>
        <w:tc>
          <w:tcPr>
            <w:tcW w:w="675" w:type="dxa"/>
            <w:tcBorders>
              <w:top w:val="single" w:sz="4" w:space="0" w:color="000000"/>
              <w:bottom w:val="single" w:sz="4" w:space="0" w:color="000000"/>
              <w:right w:val="single" w:sz="4" w:space="0" w:color="000000"/>
            </w:tcBorders>
            <w:shd w:val="clear" w:color="auto" w:fill="auto"/>
            <w:vAlign w:val="center"/>
          </w:tcPr>
          <w:p w14:paraId="3E6448D3"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Rok važenja</w:t>
            </w:r>
          </w:p>
        </w:tc>
        <w:tc>
          <w:tcPr>
            <w:tcW w:w="1519" w:type="dxa"/>
            <w:tcBorders>
              <w:top w:val="single" w:sz="4" w:space="0" w:color="000000"/>
              <w:bottom w:val="single" w:sz="4" w:space="0" w:color="000000"/>
              <w:right w:val="single" w:sz="4" w:space="0" w:color="000000"/>
            </w:tcBorders>
            <w:shd w:val="clear" w:color="auto" w:fill="auto"/>
            <w:vAlign w:val="center"/>
          </w:tcPr>
          <w:p w14:paraId="284A94CE"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Korisnik jamstva</w:t>
            </w:r>
          </w:p>
        </w:tc>
        <w:tc>
          <w:tcPr>
            <w:tcW w:w="863" w:type="dxa"/>
            <w:tcBorders>
              <w:top w:val="single" w:sz="4" w:space="0" w:color="000000"/>
              <w:bottom w:val="single" w:sz="4" w:space="0" w:color="000000"/>
              <w:right w:val="single" w:sz="4" w:space="0" w:color="000000"/>
            </w:tcBorders>
            <w:shd w:val="clear" w:color="auto" w:fill="auto"/>
            <w:vAlign w:val="center"/>
          </w:tcPr>
          <w:p w14:paraId="503B679F" w14:textId="77777777" w:rsidR="00CC333D" w:rsidRDefault="00000000">
            <w:pPr>
              <w:suppressAutoHyphens w:val="0"/>
              <w:spacing w:after="0" w:line="240" w:lineRule="auto"/>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Napomena</w:t>
            </w:r>
          </w:p>
        </w:tc>
      </w:tr>
      <w:tr w:rsidR="00CC333D" w14:paraId="702874CB" w14:textId="77777777">
        <w:trPr>
          <w:trHeight w:val="720"/>
        </w:trPr>
        <w:tc>
          <w:tcPr>
            <w:tcW w:w="574" w:type="dxa"/>
            <w:tcBorders>
              <w:left w:val="single" w:sz="4" w:space="0" w:color="000000"/>
              <w:bottom w:val="single" w:sz="4" w:space="0" w:color="000000"/>
              <w:right w:val="single" w:sz="4" w:space="0" w:color="000000"/>
            </w:tcBorders>
            <w:shd w:val="clear" w:color="auto" w:fill="auto"/>
            <w:vAlign w:val="center"/>
          </w:tcPr>
          <w:p w14:paraId="1A5DEE6F" w14:textId="77777777" w:rsidR="00CC333D" w:rsidRDefault="00000000">
            <w:pPr>
              <w:suppressAutoHyphens w:val="0"/>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w:t>
            </w:r>
          </w:p>
        </w:tc>
        <w:tc>
          <w:tcPr>
            <w:tcW w:w="882" w:type="dxa"/>
            <w:tcBorders>
              <w:bottom w:val="single" w:sz="4" w:space="0" w:color="000000"/>
              <w:right w:val="single" w:sz="4" w:space="0" w:color="000000"/>
            </w:tcBorders>
            <w:shd w:val="clear" w:color="auto" w:fill="auto"/>
            <w:vAlign w:val="center"/>
          </w:tcPr>
          <w:p w14:paraId="2090CA01" w14:textId="77777777" w:rsidR="00CC333D" w:rsidRDefault="00000000">
            <w:pPr>
              <w:suppressAutoHyphens w:val="0"/>
              <w:spacing w:after="0" w:line="240" w:lineRule="auto"/>
              <w:rPr>
                <w:rFonts w:ascii="Times New Roman" w:eastAsia="Times New Roman" w:hAnsi="Times New Roman" w:cs="Times New Roman"/>
                <w:color w:val="000000"/>
                <w:sz w:val="14"/>
                <w:szCs w:val="14"/>
                <w:lang w:eastAsia="hr-HR"/>
              </w:rPr>
            </w:pPr>
            <w:r>
              <w:rPr>
                <w:rFonts w:ascii="Times New Roman" w:eastAsia="Times New Roman" w:hAnsi="Times New Roman" w:cs="Times New Roman"/>
                <w:color w:val="000000"/>
                <w:sz w:val="14"/>
                <w:szCs w:val="14"/>
                <w:lang w:eastAsia="hr-HR"/>
              </w:rPr>
              <w:t>22.01.2021.</w:t>
            </w:r>
          </w:p>
        </w:tc>
        <w:tc>
          <w:tcPr>
            <w:tcW w:w="953" w:type="dxa"/>
            <w:tcBorders>
              <w:bottom w:val="single" w:sz="4" w:space="0" w:color="000000"/>
              <w:right w:val="single" w:sz="4" w:space="0" w:color="000000"/>
            </w:tcBorders>
            <w:shd w:val="clear" w:color="auto" w:fill="auto"/>
            <w:vAlign w:val="center"/>
          </w:tcPr>
          <w:p w14:paraId="6DA24C3F" w14:textId="77777777" w:rsidR="00CC333D" w:rsidRDefault="00000000">
            <w:pPr>
              <w:suppressAutoHyphens w:val="0"/>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Zadužnica      broj OV-427/2021</w:t>
            </w:r>
          </w:p>
        </w:tc>
        <w:tc>
          <w:tcPr>
            <w:tcW w:w="993" w:type="dxa"/>
            <w:tcBorders>
              <w:bottom w:val="single" w:sz="4" w:space="0" w:color="000000"/>
              <w:right w:val="single" w:sz="4" w:space="0" w:color="000000"/>
            </w:tcBorders>
            <w:shd w:val="clear" w:color="auto" w:fill="auto"/>
            <w:vAlign w:val="center"/>
          </w:tcPr>
          <w:p w14:paraId="0653FC75" w14:textId="77777777" w:rsidR="00CC333D" w:rsidRDefault="00000000">
            <w:pPr>
              <w:suppressAutoHyphens w:val="0"/>
              <w:spacing w:after="0"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540.347,97</w:t>
            </w:r>
          </w:p>
        </w:tc>
        <w:tc>
          <w:tcPr>
            <w:tcW w:w="919" w:type="dxa"/>
            <w:tcBorders>
              <w:bottom w:val="single" w:sz="4" w:space="0" w:color="000000"/>
              <w:right w:val="single" w:sz="4" w:space="0" w:color="000000"/>
            </w:tcBorders>
            <w:shd w:val="clear" w:color="auto" w:fill="auto"/>
            <w:vAlign w:val="center"/>
          </w:tcPr>
          <w:p w14:paraId="5F08D9D0" w14:textId="77777777" w:rsidR="00CC333D" w:rsidRDefault="00000000">
            <w:pPr>
              <w:suppressAutoHyphens w:val="0"/>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dugoročni kredit</w:t>
            </w:r>
          </w:p>
        </w:tc>
        <w:tc>
          <w:tcPr>
            <w:tcW w:w="817" w:type="dxa"/>
            <w:tcBorders>
              <w:bottom w:val="single" w:sz="4" w:space="0" w:color="000000"/>
              <w:right w:val="single" w:sz="4" w:space="0" w:color="000000"/>
            </w:tcBorders>
            <w:shd w:val="clear" w:color="auto" w:fill="auto"/>
            <w:vAlign w:val="center"/>
          </w:tcPr>
          <w:p w14:paraId="7198DB13" w14:textId="77777777" w:rsidR="00CC333D" w:rsidRDefault="00000000">
            <w:pPr>
              <w:suppressAutoHyphens w:val="0"/>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Dom zdravlja Zadarske županije</w:t>
            </w:r>
          </w:p>
        </w:tc>
        <w:tc>
          <w:tcPr>
            <w:tcW w:w="984" w:type="dxa"/>
            <w:tcBorders>
              <w:bottom w:val="single" w:sz="4" w:space="0" w:color="000000"/>
              <w:right w:val="single" w:sz="4" w:space="0" w:color="000000"/>
            </w:tcBorders>
            <w:shd w:val="clear" w:color="auto" w:fill="auto"/>
            <w:vAlign w:val="center"/>
          </w:tcPr>
          <w:p w14:paraId="101951EE" w14:textId="77777777" w:rsidR="00CC333D" w:rsidRDefault="00000000">
            <w:pPr>
              <w:suppressAutoHyphens w:val="0"/>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Ugovor o dugoročnom kreditu broj: 5118532431</w:t>
            </w:r>
          </w:p>
        </w:tc>
        <w:tc>
          <w:tcPr>
            <w:tcW w:w="675" w:type="dxa"/>
            <w:tcBorders>
              <w:bottom w:val="single" w:sz="4" w:space="0" w:color="000000"/>
              <w:right w:val="single" w:sz="4" w:space="0" w:color="000000"/>
            </w:tcBorders>
            <w:shd w:val="clear" w:color="auto" w:fill="auto"/>
            <w:vAlign w:val="center"/>
          </w:tcPr>
          <w:p w14:paraId="3668CBD6" w14:textId="77777777" w:rsidR="00CC333D" w:rsidRDefault="00000000">
            <w:pPr>
              <w:suppressAutoHyphens w:val="0"/>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do otplate</w:t>
            </w:r>
          </w:p>
        </w:tc>
        <w:tc>
          <w:tcPr>
            <w:tcW w:w="1519" w:type="dxa"/>
            <w:tcBorders>
              <w:bottom w:val="single" w:sz="4" w:space="0" w:color="000000"/>
              <w:right w:val="single" w:sz="4" w:space="0" w:color="000000"/>
            </w:tcBorders>
            <w:shd w:val="clear" w:color="auto" w:fill="auto"/>
            <w:vAlign w:val="center"/>
          </w:tcPr>
          <w:p w14:paraId="6D60A94E" w14:textId="77777777" w:rsidR="00CC333D" w:rsidRDefault="00000000">
            <w:pPr>
              <w:suppressAutoHyphens w:val="0"/>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Erste&amp;Steiermärkische Bank d.d.</w:t>
            </w:r>
          </w:p>
        </w:tc>
        <w:tc>
          <w:tcPr>
            <w:tcW w:w="863" w:type="dxa"/>
            <w:tcBorders>
              <w:bottom w:val="single" w:sz="4" w:space="0" w:color="000000"/>
              <w:right w:val="single" w:sz="4" w:space="0" w:color="000000"/>
            </w:tcBorders>
            <w:shd w:val="clear" w:color="auto" w:fill="auto"/>
            <w:vAlign w:val="center"/>
          </w:tcPr>
          <w:p w14:paraId="304C0A00" w14:textId="77777777" w:rsidR="00CC333D" w:rsidRDefault="00000000">
            <w:pPr>
              <w:suppressAutoHyphens w:val="0"/>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uvećano za kamate i troškove te zateznu kamatu</w:t>
            </w:r>
          </w:p>
        </w:tc>
      </w:tr>
      <w:tr w:rsidR="00CC333D" w14:paraId="61838301" w14:textId="77777777">
        <w:trPr>
          <w:trHeight w:val="312"/>
        </w:trPr>
        <w:tc>
          <w:tcPr>
            <w:tcW w:w="574" w:type="dxa"/>
            <w:tcBorders>
              <w:left w:val="single" w:sz="4" w:space="0" w:color="000000"/>
              <w:bottom w:val="single" w:sz="4" w:space="0" w:color="000000"/>
              <w:right w:val="single" w:sz="4" w:space="0" w:color="000000"/>
            </w:tcBorders>
            <w:shd w:val="clear" w:color="auto" w:fill="auto"/>
            <w:vAlign w:val="bottom"/>
          </w:tcPr>
          <w:p w14:paraId="5B1584EF" w14:textId="77777777" w:rsidR="00CC333D" w:rsidRDefault="00CC333D">
            <w:pPr>
              <w:suppressAutoHyphens w:val="0"/>
              <w:spacing w:after="0" w:line="240" w:lineRule="auto"/>
              <w:rPr>
                <w:rFonts w:ascii="Times New Roman" w:eastAsia="Times New Roman" w:hAnsi="Times New Roman" w:cs="Times New Roman"/>
                <w:color w:val="000000"/>
                <w:sz w:val="24"/>
                <w:szCs w:val="24"/>
                <w:lang w:eastAsia="hr-HR"/>
              </w:rPr>
            </w:pPr>
          </w:p>
        </w:tc>
        <w:tc>
          <w:tcPr>
            <w:tcW w:w="882" w:type="dxa"/>
            <w:tcBorders>
              <w:bottom w:val="single" w:sz="4" w:space="0" w:color="000000"/>
              <w:right w:val="single" w:sz="4" w:space="0" w:color="000000"/>
            </w:tcBorders>
            <w:shd w:val="clear" w:color="auto" w:fill="auto"/>
            <w:vAlign w:val="bottom"/>
          </w:tcPr>
          <w:p w14:paraId="6399A1F5" w14:textId="77777777" w:rsidR="00CC333D" w:rsidRDefault="00CC333D">
            <w:pPr>
              <w:suppressAutoHyphens w:val="0"/>
              <w:spacing w:after="0" w:line="240" w:lineRule="auto"/>
              <w:rPr>
                <w:rFonts w:ascii="Times New Roman" w:eastAsia="Times New Roman" w:hAnsi="Times New Roman" w:cs="Times New Roman"/>
                <w:color w:val="000000"/>
                <w:sz w:val="24"/>
                <w:szCs w:val="24"/>
                <w:lang w:eastAsia="hr-HR"/>
              </w:rPr>
            </w:pPr>
          </w:p>
        </w:tc>
        <w:tc>
          <w:tcPr>
            <w:tcW w:w="953" w:type="dxa"/>
            <w:tcBorders>
              <w:bottom w:val="single" w:sz="4" w:space="0" w:color="000000"/>
              <w:right w:val="single" w:sz="4" w:space="0" w:color="000000"/>
            </w:tcBorders>
            <w:shd w:val="clear" w:color="auto" w:fill="auto"/>
            <w:vAlign w:val="bottom"/>
          </w:tcPr>
          <w:p w14:paraId="17E72BBE" w14:textId="77777777" w:rsidR="00CC333D" w:rsidRDefault="00000000">
            <w:pPr>
              <w:suppressAutoHyphens w:val="0"/>
              <w:spacing w:after="0" w:line="240" w:lineRule="auto"/>
              <w:rPr>
                <w:rFonts w:ascii="Times New Roman" w:eastAsia="Times New Roman" w:hAnsi="Times New Roman" w:cs="Times New Roman"/>
                <w:b/>
                <w:bCs/>
                <w:color w:val="000000"/>
                <w:sz w:val="16"/>
                <w:szCs w:val="16"/>
                <w:lang w:eastAsia="hr-HR"/>
              </w:rPr>
            </w:pPr>
            <w:r>
              <w:rPr>
                <w:rFonts w:ascii="Times New Roman" w:eastAsia="Times New Roman" w:hAnsi="Times New Roman" w:cs="Times New Roman"/>
                <w:b/>
                <w:bCs/>
                <w:color w:val="000000"/>
                <w:sz w:val="16"/>
                <w:szCs w:val="16"/>
                <w:lang w:eastAsia="hr-HR"/>
              </w:rPr>
              <w:t>Ukupno:</w:t>
            </w:r>
          </w:p>
        </w:tc>
        <w:tc>
          <w:tcPr>
            <w:tcW w:w="993" w:type="dxa"/>
            <w:tcBorders>
              <w:bottom w:val="single" w:sz="4" w:space="0" w:color="000000"/>
              <w:right w:val="single" w:sz="4" w:space="0" w:color="000000"/>
            </w:tcBorders>
            <w:shd w:val="clear" w:color="auto" w:fill="auto"/>
            <w:vAlign w:val="bottom"/>
          </w:tcPr>
          <w:p w14:paraId="1A85D58B" w14:textId="77777777" w:rsidR="00CC333D" w:rsidRDefault="00000000">
            <w:pPr>
              <w:suppressAutoHyphens w:val="0"/>
              <w:spacing w:after="0" w:line="240" w:lineRule="auto"/>
              <w:jc w:val="right"/>
              <w:rPr>
                <w:rFonts w:ascii="Times New Roman" w:eastAsia="Times New Roman" w:hAnsi="Times New Roman" w:cs="Times New Roman"/>
                <w:b/>
                <w:bCs/>
                <w:color w:val="000000"/>
                <w:sz w:val="16"/>
                <w:szCs w:val="16"/>
                <w:lang w:eastAsia="hr-HR"/>
              </w:rPr>
            </w:pPr>
            <w:r>
              <w:rPr>
                <w:rFonts w:ascii="Times New Roman" w:eastAsia="Times New Roman" w:hAnsi="Times New Roman" w:cs="Times New Roman"/>
                <w:b/>
                <w:bCs/>
                <w:color w:val="000000"/>
                <w:sz w:val="16"/>
                <w:szCs w:val="16"/>
                <w:lang w:eastAsia="hr-HR"/>
              </w:rPr>
              <w:t>540.347,97</w:t>
            </w:r>
          </w:p>
        </w:tc>
        <w:tc>
          <w:tcPr>
            <w:tcW w:w="919" w:type="dxa"/>
            <w:tcBorders>
              <w:bottom w:val="single" w:sz="4" w:space="0" w:color="000000"/>
              <w:right w:val="single" w:sz="4" w:space="0" w:color="000000"/>
            </w:tcBorders>
            <w:shd w:val="clear" w:color="auto" w:fill="auto"/>
            <w:vAlign w:val="bottom"/>
          </w:tcPr>
          <w:p w14:paraId="1B5DEDD8" w14:textId="77777777" w:rsidR="00CC333D" w:rsidRDefault="00CC333D">
            <w:pPr>
              <w:suppressAutoHyphens w:val="0"/>
              <w:spacing w:after="0" w:line="240" w:lineRule="auto"/>
              <w:rPr>
                <w:rFonts w:ascii="Times New Roman" w:eastAsia="Times New Roman" w:hAnsi="Times New Roman" w:cs="Times New Roman"/>
                <w:color w:val="000000"/>
                <w:sz w:val="24"/>
                <w:szCs w:val="24"/>
                <w:lang w:eastAsia="hr-HR"/>
              </w:rPr>
            </w:pPr>
          </w:p>
        </w:tc>
        <w:tc>
          <w:tcPr>
            <w:tcW w:w="817" w:type="dxa"/>
            <w:tcBorders>
              <w:bottom w:val="single" w:sz="4" w:space="0" w:color="000000"/>
              <w:right w:val="single" w:sz="4" w:space="0" w:color="000000"/>
            </w:tcBorders>
            <w:shd w:val="clear" w:color="auto" w:fill="auto"/>
            <w:vAlign w:val="bottom"/>
          </w:tcPr>
          <w:p w14:paraId="7D7A41B8" w14:textId="77777777" w:rsidR="00CC333D" w:rsidRDefault="00CC333D">
            <w:pPr>
              <w:suppressAutoHyphens w:val="0"/>
              <w:spacing w:after="0" w:line="240" w:lineRule="auto"/>
              <w:rPr>
                <w:rFonts w:ascii="Times New Roman" w:eastAsia="Times New Roman" w:hAnsi="Times New Roman" w:cs="Times New Roman"/>
                <w:color w:val="000000"/>
                <w:sz w:val="24"/>
                <w:szCs w:val="24"/>
                <w:lang w:eastAsia="hr-HR"/>
              </w:rPr>
            </w:pPr>
          </w:p>
        </w:tc>
        <w:tc>
          <w:tcPr>
            <w:tcW w:w="984" w:type="dxa"/>
            <w:tcBorders>
              <w:bottom w:val="single" w:sz="4" w:space="0" w:color="000000"/>
              <w:right w:val="single" w:sz="4" w:space="0" w:color="000000"/>
            </w:tcBorders>
            <w:shd w:val="clear" w:color="auto" w:fill="auto"/>
            <w:vAlign w:val="center"/>
          </w:tcPr>
          <w:p w14:paraId="56383045" w14:textId="77777777" w:rsidR="00CC333D" w:rsidRDefault="00CC333D">
            <w:pPr>
              <w:suppressAutoHyphens w:val="0"/>
              <w:spacing w:after="0" w:line="240" w:lineRule="auto"/>
              <w:rPr>
                <w:rFonts w:ascii="Times New Roman" w:eastAsia="Times New Roman" w:hAnsi="Times New Roman" w:cs="Times New Roman"/>
                <w:b/>
                <w:bCs/>
                <w:color w:val="000000"/>
                <w:sz w:val="24"/>
                <w:szCs w:val="24"/>
                <w:lang w:eastAsia="hr-HR"/>
              </w:rPr>
            </w:pPr>
          </w:p>
        </w:tc>
        <w:tc>
          <w:tcPr>
            <w:tcW w:w="675" w:type="dxa"/>
            <w:tcBorders>
              <w:bottom w:val="single" w:sz="4" w:space="0" w:color="000000"/>
              <w:right w:val="single" w:sz="4" w:space="0" w:color="000000"/>
            </w:tcBorders>
            <w:shd w:val="clear" w:color="auto" w:fill="auto"/>
            <w:vAlign w:val="bottom"/>
          </w:tcPr>
          <w:p w14:paraId="44A0ADCB" w14:textId="77777777" w:rsidR="00CC333D" w:rsidRDefault="00CC333D">
            <w:pPr>
              <w:suppressAutoHyphens w:val="0"/>
              <w:spacing w:after="0" w:line="240" w:lineRule="auto"/>
              <w:rPr>
                <w:rFonts w:ascii="Times New Roman" w:eastAsia="Times New Roman" w:hAnsi="Times New Roman" w:cs="Times New Roman"/>
                <w:color w:val="000000"/>
                <w:sz w:val="24"/>
                <w:szCs w:val="24"/>
                <w:lang w:eastAsia="hr-HR"/>
              </w:rPr>
            </w:pPr>
          </w:p>
        </w:tc>
        <w:tc>
          <w:tcPr>
            <w:tcW w:w="1519" w:type="dxa"/>
            <w:tcBorders>
              <w:bottom w:val="single" w:sz="4" w:space="0" w:color="000000"/>
              <w:right w:val="single" w:sz="4" w:space="0" w:color="000000"/>
            </w:tcBorders>
            <w:shd w:val="clear" w:color="auto" w:fill="auto"/>
            <w:vAlign w:val="bottom"/>
          </w:tcPr>
          <w:p w14:paraId="63381FB5" w14:textId="77777777" w:rsidR="00CC333D" w:rsidRDefault="00CC333D">
            <w:pPr>
              <w:suppressAutoHyphens w:val="0"/>
              <w:spacing w:after="0" w:line="240" w:lineRule="auto"/>
              <w:rPr>
                <w:rFonts w:ascii="Times New Roman" w:eastAsia="Times New Roman" w:hAnsi="Times New Roman" w:cs="Times New Roman"/>
                <w:color w:val="000000"/>
                <w:sz w:val="24"/>
                <w:szCs w:val="24"/>
                <w:lang w:eastAsia="hr-HR"/>
              </w:rPr>
            </w:pPr>
          </w:p>
        </w:tc>
        <w:tc>
          <w:tcPr>
            <w:tcW w:w="863" w:type="dxa"/>
            <w:tcBorders>
              <w:bottom w:val="single" w:sz="4" w:space="0" w:color="000000"/>
              <w:right w:val="single" w:sz="4" w:space="0" w:color="000000"/>
            </w:tcBorders>
            <w:shd w:val="clear" w:color="auto" w:fill="auto"/>
            <w:vAlign w:val="bottom"/>
          </w:tcPr>
          <w:p w14:paraId="7B255039" w14:textId="77777777" w:rsidR="00CC333D" w:rsidRDefault="00CC333D">
            <w:pPr>
              <w:suppressAutoHyphens w:val="0"/>
              <w:spacing w:after="0" w:line="240" w:lineRule="auto"/>
              <w:rPr>
                <w:rFonts w:ascii="Times New Roman" w:eastAsia="Times New Roman" w:hAnsi="Times New Roman" w:cs="Times New Roman"/>
                <w:color w:val="000000"/>
                <w:sz w:val="24"/>
                <w:szCs w:val="24"/>
                <w:lang w:eastAsia="hr-HR"/>
              </w:rPr>
            </w:pPr>
          </w:p>
        </w:tc>
      </w:tr>
    </w:tbl>
    <w:p w14:paraId="0CB85979" w14:textId="77777777" w:rsidR="00CC333D" w:rsidRDefault="00CC333D">
      <w:pPr>
        <w:pStyle w:val="Bezproreda"/>
        <w:jc w:val="both"/>
        <w:rPr>
          <w:rFonts w:ascii="Times New Roman" w:hAnsi="Times New Roman" w:cs="Times New Roman"/>
          <w:sz w:val="24"/>
          <w:szCs w:val="24"/>
        </w:rPr>
      </w:pPr>
    </w:p>
    <w:p w14:paraId="174D2737" w14:textId="77777777" w:rsidR="00CC333D" w:rsidRDefault="00CC333D">
      <w:pPr>
        <w:pStyle w:val="Bezproreda"/>
        <w:jc w:val="both"/>
        <w:rPr>
          <w:rFonts w:ascii="Times New Roman" w:hAnsi="Times New Roman" w:cs="Times New Roman"/>
          <w:sz w:val="24"/>
          <w:szCs w:val="24"/>
        </w:rPr>
      </w:pPr>
    </w:p>
    <w:p w14:paraId="05E61B90" w14:textId="77777777" w:rsidR="00CC333D" w:rsidRDefault="00CC333D">
      <w:pPr>
        <w:pStyle w:val="Bezproreda"/>
        <w:jc w:val="both"/>
        <w:rPr>
          <w:rFonts w:ascii="Times New Roman" w:hAnsi="Times New Roman" w:cs="Times New Roman"/>
          <w:sz w:val="24"/>
          <w:szCs w:val="24"/>
        </w:rPr>
      </w:pPr>
    </w:p>
    <w:p w14:paraId="67BC07BA" w14:textId="77777777" w:rsidR="00CC333D" w:rsidRDefault="00000000">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sudske sporove u iznosu od 61.421,00 eura a u naravi se odnose na više pojedinačnih tužbi iz domene radnih odnosa.</w:t>
      </w:r>
    </w:p>
    <w:p w14:paraId="33814F0D" w14:textId="77777777" w:rsidR="00CC333D" w:rsidRDefault="00CC333D">
      <w:pPr>
        <w:pStyle w:val="Bezproreda"/>
        <w:jc w:val="both"/>
        <w:rPr>
          <w:rFonts w:ascii="Times New Roman" w:hAnsi="Times New Roman" w:cs="Times New Roman"/>
          <w:sz w:val="24"/>
          <w:szCs w:val="24"/>
        </w:rPr>
      </w:pPr>
    </w:p>
    <w:p w14:paraId="02C26F75" w14:textId="77777777" w:rsidR="00CC333D" w:rsidRDefault="00CC333D">
      <w:pPr>
        <w:pStyle w:val="Bezproreda"/>
        <w:rPr>
          <w:rFonts w:ascii="Times New Roman" w:eastAsia="Times New Roman" w:hAnsi="Times New Roman" w:cs="Times New Roman"/>
          <w:iCs/>
          <w:sz w:val="24"/>
          <w:szCs w:val="24"/>
          <w:lang w:eastAsia="hr-HR"/>
        </w:rPr>
      </w:pPr>
    </w:p>
    <w:p w14:paraId="783A84C9" w14:textId="77777777" w:rsidR="00CC333D" w:rsidRDefault="00CC333D">
      <w:pPr>
        <w:pStyle w:val="Bezproreda"/>
        <w:rPr>
          <w:rFonts w:ascii="Times New Roman" w:eastAsia="Times New Roman" w:hAnsi="Times New Roman" w:cs="Times New Roman"/>
          <w:iCs/>
          <w:sz w:val="24"/>
          <w:szCs w:val="24"/>
          <w:lang w:eastAsia="hr-HR"/>
        </w:rPr>
      </w:pPr>
    </w:p>
    <w:p w14:paraId="78051671" w14:textId="77777777" w:rsidR="00CC333D" w:rsidRDefault="00CC333D">
      <w:pPr>
        <w:pStyle w:val="Bezproreda"/>
        <w:rPr>
          <w:sz w:val="24"/>
          <w:szCs w:val="24"/>
        </w:rPr>
      </w:pPr>
    </w:p>
    <w:tbl>
      <w:tblPr>
        <w:tblW w:w="9180" w:type="dxa"/>
        <w:tblInd w:w="109" w:type="dxa"/>
        <w:tblLayout w:type="fixed"/>
        <w:tblLook w:val="04A0" w:firstRow="1" w:lastRow="0" w:firstColumn="1" w:lastColumn="0" w:noHBand="0" w:noVBand="1"/>
      </w:tblPr>
      <w:tblGrid>
        <w:gridCol w:w="916"/>
        <w:gridCol w:w="3002"/>
        <w:gridCol w:w="2459"/>
        <w:gridCol w:w="736"/>
        <w:gridCol w:w="2067"/>
      </w:tblGrid>
      <w:tr w:rsidR="00CC333D" w14:paraId="4ED1DB2B" w14:textId="77777777">
        <w:trPr>
          <w:trHeight w:val="456"/>
        </w:trPr>
        <w:tc>
          <w:tcPr>
            <w:tcW w:w="9180" w:type="dxa"/>
            <w:gridSpan w:val="5"/>
            <w:shd w:val="clear" w:color="auto" w:fill="auto"/>
            <w:vAlign w:val="center"/>
          </w:tcPr>
          <w:p w14:paraId="763AF4E5" w14:textId="77777777" w:rsidR="00CC333D" w:rsidRDefault="00000000">
            <w:pPr>
              <w:suppressAutoHyphens w:val="0"/>
              <w:spacing w:after="0" w:line="240" w:lineRule="auto"/>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POTENCIJALNE OBVEZE PO OSNOVI SUDSKIH SPOROVA U TIJEKU</w:t>
            </w:r>
          </w:p>
        </w:tc>
      </w:tr>
      <w:tr w:rsidR="00CC333D" w14:paraId="71369BF4" w14:textId="77777777">
        <w:trPr>
          <w:trHeight w:val="1188"/>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E2B3" w14:textId="77777777" w:rsidR="00CC333D" w:rsidRDefault="00000000">
            <w:pPr>
              <w:suppressAutoHyphens w:val="0"/>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Redni broj</w:t>
            </w:r>
          </w:p>
        </w:tc>
        <w:tc>
          <w:tcPr>
            <w:tcW w:w="3002" w:type="dxa"/>
            <w:tcBorders>
              <w:top w:val="single" w:sz="4" w:space="0" w:color="000000"/>
              <w:bottom w:val="single" w:sz="4" w:space="0" w:color="000000"/>
              <w:right w:val="single" w:sz="4" w:space="0" w:color="000000"/>
            </w:tcBorders>
            <w:shd w:val="clear" w:color="auto" w:fill="auto"/>
            <w:vAlign w:val="center"/>
          </w:tcPr>
          <w:p w14:paraId="05F2E451" w14:textId="77777777" w:rsidR="00CC333D" w:rsidRDefault="00000000">
            <w:pPr>
              <w:suppressAutoHyphens w:val="0"/>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Opis prirode spora</w:t>
            </w:r>
          </w:p>
        </w:tc>
        <w:tc>
          <w:tcPr>
            <w:tcW w:w="2459" w:type="dxa"/>
            <w:tcBorders>
              <w:top w:val="single" w:sz="4" w:space="0" w:color="000000"/>
              <w:bottom w:val="single" w:sz="4" w:space="0" w:color="000000"/>
              <w:right w:val="single" w:sz="4" w:space="0" w:color="000000"/>
            </w:tcBorders>
            <w:shd w:val="clear" w:color="auto" w:fill="auto"/>
            <w:vAlign w:val="center"/>
          </w:tcPr>
          <w:p w14:paraId="522DB17F" w14:textId="77777777" w:rsidR="00CC333D" w:rsidRDefault="00000000">
            <w:pPr>
              <w:suppressAutoHyphens w:val="0"/>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Procjena financijskog učinka koji može proisteći iz sudskog spora kao obveza ili imovina</w:t>
            </w:r>
          </w:p>
        </w:tc>
        <w:tc>
          <w:tcPr>
            <w:tcW w:w="736" w:type="dxa"/>
            <w:tcBorders>
              <w:top w:val="single" w:sz="4" w:space="0" w:color="000000"/>
              <w:bottom w:val="single" w:sz="4" w:space="0" w:color="000000"/>
              <w:right w:val="single" w:sz="4" w:space="0" w:color="000000"/>
            </w:tcBorders>
            <w:shd w:val="clear" w:color="auto" w:fill="auto"/>
            <w:vAlign w:val="center"/>
          </w:tcPr>
          <w:p w14:paraId="3DFF2636" w14:textId="77777777" w:rsidR="00CC333D" w:rsidRDefault="00000000">
            <w:pPr>
              <w:suppressAutoHyphens w:val="0"/>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Valuta</w:t>
            </w:r>
          </w:p>
        </w:tc>
        <w:tc>
          <w:tcPr>
            <w:tcW w:w="2067" w:type="dxa"/>
            <w:tcBorders>
              <w:top w:val="single" w:sz="4" w:space="0" w:color="000000"/>
              <w:bottom w:val="single" w:sz="4" w:space="0" w:color="000000"/>
              <w:right w:val="single" w:sz="4" w:space="0" w:color="000000"/>
            </w:tcBorders>
            <w:shd w:val="clear" w:color="auto" w:fill="auto"/>
            <w:vAlign w:val="center"/>
          </w:tcPr>
          <w:p w14:paraId="0069ADA1" w14:textId="77777777" w:rsidR="00CC333D" w:rsidRDefault="00000000">
            <w:pPr>
              <w:suppressAutoHyphens w:val="0"/>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Procijenjeno vrijeme odljeva ili priljeva sredstava</w:t>
            </w:r>
          </w:p>
        </w:tc>
      </w:tr>
      <w:tr w:rsidR="00CC333D" w14:paraId="32E47765" w14:textId="77777777">
        <w:trPr>
          <w:trHeight w:val="732"/>
        </w:trPr>
        <w:tc>
          <w:tcPr>
            <w:tcW w:w="916" w:type="dxa"/>
            <w:tcBorders>
              <w:left w:val="single" w:sz="4" w:space="0" w:color="000000"/>
              <w:bottom w:val="single" w:sz="4" w:space="0" w:color="000000"/>
              <w:right w:val="single" w:sz="4" w:space="0" w:color="000000"/>
            </w:tcBorders>
            <w:shd w:val="clear" w:color="auto" w:fill="auto"/>
            <w:vAlign w:val="bottom"/>
          </w:tcPr>
          <w:p w14:paraId="5709CEC2"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w:t>
            </w:r>
          </w:p>
        </w:tc>
        <w:tc>
          <w:tcPr>
            <w:tcW w:w="3002" w:type="dxa"/>
            <w:tcBorders>
              <w:bottom w:val="single" w:sz="4" w:space="0" w:color="000000"/>
              <w:right w:val="single" w:sz="4" w:space="0" w:color="000000"/>
            </w:tcBorders>
            <w:shd w:val="clear" w:color="auto" w:fill="auto"/>
            <w:vAlign w:val="bottom"/>
          </w:tcPr>
          <w:p w14:paraId="2E4DDF17" w14:textId="77777777" w:rsidR="00CC333D" w:rsidRDefault="00000000">
            <w:pPr>
              <w:suppressAutoHyphens w:val="0"/>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Više pojedinačnih tužbi i zajednička tužba iz domene radnih odnosa (povećanje osnovice plaće 6%)</w:t>
            </w:r>
          </w:p>
        </w:tc>
        <w:tc>
          <w:tcPr>
            <w:tcW w:w="2459" w:type="dxa"/>
            <w:tcBorders>
              <w:bottom w:val="single" w:sz="4" w:space="0" w:color="000000"/>
              <w:right w:val="single" w:sz="4" w:space="0" w:color="000000"/>
            </w:tcBorders>
            <w:shd w:val="clear" w:color="auto" w:fill="auto"/>
            <w:vAlign w:val="bottom"/>
          </w:tcPr>
          <w:p w14:paraId="7C743D6F"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19.500,00</w:t>
            </w:r>
          </w:p>
        </w:tc>
        <w:tc>
          <w:tcPr>
            <w:tcW w:w="736" w:type="dxa"/>
            <w:tcBorders>
              <w:bottom w:val="single" w:sz="4" w:space="0" w:color="000000"/>
              <w:right w:val="single" w:sz="4" w:space="0" w:color="000000"/>
            </w:tcBorders>
            <w:shd w:val="clear" w:color="auto" w:fill="auto"/>
            <w:vAlign w:val="bottom"/>
          </w:tcPr>
          <w:p w14:paraId="1265C17D"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EUR</w:t>
            </w:r>
          </w:p>
        </w:tc>
        <w:tc>
          <w:tcPr>
            <w:tcW w:w="2067" w:type="dxa"/>
            <w:tcBorders>
              <w:bottom w:val="single" w:sz="4" w:space="0" w:color="000000"/>
              <w:right w:val="single" w:sz="4" w:space="0" w:color="000000"/>
            </w:tcBorders>
            <w:shd w:val="clear" w:color="auto" w:fill="auto"/>
            <w:vAlign w:val="bottom"/>
          </w:tcPr>
          <w:p w14:paraId="64BC9D1E"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2025.g.-2026.g</w:t>
            </w:r>
          </w:p>
        </w:tc>
      </w:tr>
      <w:tr w:rsidR="00CC333D" w14:paraId="40B41C2E" w14:textId="77777777">
        <w:trPr>
          <w:trHeight w:val="732"/>
        </w:trPr>
        <w:tc>
          <w:tcPr>
            <w:tcW w:w="916" w:type="dxa"/>
            <w:tcBorders>
              <w:left w:val="single" w:sz="4" w:space="0" w:color="000000"/>
              <w:bottom w:val="single" w:sz="4" w:space="0" w:color="000000"/>
              <w:right w:val="single" w:sz="4" w:space="0" w:color="000000"/>
            </w:tcBorders>
            <w:shd w:val="clear" w:color="auto" w:fill="auto"/>
            <w:vAlign w:val="bottom"/>
          </w:tcPr>
          <w:p w14:paraId="01C51BF6"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3002" w:type="dxa"/>
            <w:tcBorders>
              <w:bottom w:val="single" w:sz="4" w:space="0" w:color="000000"/>
              <w:right w:val="single" w:sz="4" w:space="0" w:color="000000"/>
            </w:tcBorders>
            <w:shd w:val="clear" w:color="auto" w:fill="auto"/>
            <w:vAlign w:val="bottom"/>
          </w:tcPr>
          <w:p w14:paraId="01CE5DAD" w14:textId="77777777" w:rsidR="00CC333D" w:rsidRDefault="00000000">
            <w:pPr>
              <w:suppressAutoHyphens w:val="0"/>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Više pojedinačnih tužbi iz domene radnih odnosa (dodatak na osnovicu 4%)</w:t>
            </w:r>
          </w:p>
        </w:tc>
        <w:tc>
          <w:tcPr>
            <w:tcW w:w="2459" w:type="dxa"/>
            <w:tcBorders>
              <w:bottom w:val="single" w:sz="4" w:space="0" w:color="000000"/>
              <w:right w:val="single" w:sz="4" w:space="0" w:color="000000"/>
            </w:tcBorders>
            <w:shd w:val="clear" w:color="auto" w:fill="auto"/>
            <w:vAlign w:val="bottom"/>
          </w:tcPr>
          <w:p w14:paraId="64EC56E4"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8.520,00</w:t>
            </w:r>
          </w:p>
        </w:tc>
        <w:tc>
          <w:tcPr>
            <w:tcW w:w="736" w:type="dxa"/>
            <w:tcBorders>
              <w:bottom w:val="single" w:sz="4" w:space="0" w:color="000000"/>
              <w:right w:val="single" w:sz="4" w:space="0" w:color="000000"/>
            </w:tcBorders>
            <w:shd w:val="clear" w:color="auto" w:fill="auto"/>
            <w:vAlign w:val="bottom"/>
          </w:tcPr>
          <w:p w14:paraId="59CE5DA3"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EUR</w:t>
            </w:r>
          </w:p>
        </w:tc>
        <w:tc>
          <w:tcPr>
            <w:tcW w:w="2067" w:type="dxa"/>
            <w:tcBorders>
              <w:bottom w:val="single" w:sz="4" w:space="0" w:color="000000"/>
              <w:right w:val="single" w:sz="4" w:space="0" w:color="000000"/>
            </w:tcBorders>
            <w:shd w:val="clear" w:color="auto" w:fill="auto"/>
            <w:vAlign w:val="bottom"/>
          </w:tcPr>
          <w:p w14:paraId="5CEB0F3A"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2025.g.-2026.g</w:t>
            </w:r>
          </w:p>
        </w:tc>
      </w:tr>
      <w:tr w:rsidR="00CC333D" w14:paraId="0E806267" w14:textId="77777777">
        <w:trPr>
          <w:trHeight w:val="732"/>
        </w:trPr>
        <w:tc>
          <w:tcPr>
            <w:tcW w:w="916" w:type="dxa"/>
            <w:tcBorders>
              <w:left w:val="single" w:sz="4" w:space="0" w:color="000000"/>
              <w:bottom w:val="single" w:sz="4" w:space="0" w:color="000000"/>
              <w:right w:val="single" w:sz="4" w:space="0" w:color="000000"/>
            </w:tcBorders>
            <w:shd w:val="clear" w:color="auto" w:fill="auto"/>
            <w:vAlign w:val="bottom"/>
          </w:tcPr>
          <w:p w14:paraId="58A9F111"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3.</w:t>
            </w:r>
          </w:p>
        </w:tc>
        <w:tc>
          <w:tcPr>
            <w:tcW w:w="3002" w:type="dxa"/>
            <w:tcBorders>
              <w:bottom w:val="single" w:sz="4" w:space="0" w:color="000000"/>
              <w:right w:val="single" w:sz="4" w:space="0" w:color="000000"/>
            </w:tcBorders>
            <w:shd w:val="clear" w:color="auto" w:fill="auto"/>
            <w:vAlign w:val="bottom"/>
          </w:tcPr>
          <w:p w14:paraId="0A9209A6" w14:textId="77777777" w:rsidR="00CC333D" w:rsidRDefault="00000000">
            <w:pPr>
              <w:suppressAutoHyphens w:val="0"/>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Više pojedinačnih tužbi iz domene radnih odnosa (dodatak na prekovremeni 4%)</w:t>
            </w:r>
          </w:p>
        </w:tc>
        <w:tc>
          <w:tcPr>
            <w:tcW w:w="2459" w:type="dxa"/>
            <w:tcBorders>
              <w:bottom w:val="single" w:sz="4" w:space="0" w:color="000000"/>
              <w:right w:val="single" w:sz="4" w:space="0" w:color="000000"/>
            </w:tcBorders>
            <w:shd w:val="clear" w:color="auto" w:fill="auto"/>
            <w:vAlign w:val="bottom"/>
          </w:tcPr>
          <w:p w14:paraId="1F88CB12"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12.228,00</w:t>
            </w:r>
          </w:p>
        </w:tc>
        <w:tc>
          <w:tcPr>
            <w:tcW w:w="736" w:type="dxa"/>
            <w:tcBorders>
              <w:bottom w:val="single" w:sz="4" w:space="0" w:color="000000"/>
              <w:right w:val="single" w:sz="4" w:space="0" w:color="000000"/>
            </w:tcBorders>
            <w:shd w:val="clear" w:color="auto" w:fill="auto"/>
            <w:vAlign w:val="bottom"/>
          </w:tcPr>
          <w:p w14:paraId="5DE339FE"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EUR</w:t>
            </w:r>
          </w:p>
        </w:tc>
        <w:tc>
          <w:tcPr>
            <w:tcW w:w="2067" w:type="dxa"/>
            <w:tcBorders>
              <w:bottom w:val="single" w:sz="4" w:space="0" w:color="000000"/>
              <w:right w:val="single" w:sz="4" w:space="0" w:color="000000"/>
            </w:tcBorders>
            <w:shd w:val="clear" w:color="auto" w:fill="auto"/>
            <w:vAlign w:val="bottom"/>
          </w:tcPr>
          <w:p w14:paraId="7134B7E9"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2025.g.-2026.g</w:t>
            </w:r>
          </w:p>
        </w:tc>
      </w:tr>
      <w:tr w:rsidR="00CC333D" w14:paraId="57CC7047" w14:textId="77777777">
        <w:trPr>
          <w:trHeight w:val="732"/>
        </w:trPr>
        <w:tc>
          <w:tcPr>
            <w:tcW w:w="916" w:type="dxa"/>
            <w:tcBorders>
              <w:left w:val="single" w:sz="4" w:space="0" w:color="000000"/>
              <w:bottom w:val="single" w:sz="4" w:space="0" w:color="000000"/>
              <w:right w:val="single" w:sz="4" w:space="0" w:color="000000"/>
            </w:tcBorders>
            <w:shd w:val="clear" w:color="auto" w:fill="auto"/>
            <w:vAlign w:val="bottom"/>
          </w:tcPr>
          <w:p w14:paraId="6E4BCD86"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w:t>
            </w:r>
          </w:p>
        </w:tc>
        <w:tc>
          <w:tcPr>
            <w:tcW w:w="3002" w:type="dxa"/>
            <w:tcBorders>
              <w:bottom w:val="single" w:sz="4" w:space="0" w:color="000000"/>
              <w:right w:val="single" w:sz="4" w:space="0" w:color="000000"/>
            </w:tcBorders>
            <w:shd w:val="clear" w:color="auto" w:fill="auto"/>
            <w:vAlign w:val="bottom"/>
          </w:tcPr>
          <w:p w14:paraId="6D189227" w14:textId="77777777" w:rsidR="00CC333D" w:rsidRDefault="00000000">
            <w:pPr>
              <w:suppressAutoHyphens w:val="0"/>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Više pojedinačnih tužbi iz domene radnih odnosa (dnevnice)</w:t>
            </w:r>
          </w:p>
        </w:tc>
        <w:tc>
          <w:tcPr>
            <w:tcW w:w="2459" w:type="dxa"/>
            <w:tcBorders>
              <w:bottom w:val="single" w:sz="4" w:space="0" w:color="000000"/>
              <w:right w:val="single" w:sz="4" w:space="0" w:color="000000"/>
            </w:tcBorders>
            <w:shd w:val="clear" w:color="auto" w:fill="auto"/>
            <w:vAlign w:val="bottom"/>
          </w:tcPr>
          <w:p w14:paraId="62ABC166"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16.545,00</w:t>
            </w:r>
          </w:p>
        </w:tc>
        <w:tc>
          <w:tcPr>
            <w:tcW w:w="736" w:type="dxa"/>
            <w:tcBorders>
              <w:bottom w:val="single" w:sz="4" w:space="0" w:color="000000"/>
              <w:right w:val="single" w:sz="4" w:space="0" w:color="000000"/>
            </w:tcBorders>
            <w:shd w:val="clear" w:color="auto" w:fill="auto"/>
            <w:vAlign w:val="bottom"/>
          </w:tcPr>
          <w:p w14:paraId="72276129"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EUR</w:t>
            </w:r>
          </w:p>
        </w:tc>
        <w:tc>
          <w:tcPr>
            <w:tcW w:w="2067" w:type="dxa"/>
            <w:tcBorders>
              <w:bottom w:val="single" w:sz="4" w:space="0" w:color="000000"/>
              <w:right w:val="single" w:sz="4" w:space="0" w:color="000000"/>
            </w:tcBorders>
            <w:shd w:val="clear" w:color="auto" w:fill="auto"/>
            <w:vAlign w:val="bottom"/>
          </w:tcPr>
          <w:p w14:paraId="6BC74C71"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2025.g.-2026.g</w:t>
            </w:r>
          </w:p>
        </w:tc>
      </w:tr>
      <w:tr w:rsidR="00CC333D" w14:paraId="47EE7CF8" w14:textId="77777777">
        <w:trPr>
          <w:trHeight w:val="732"/>
        </w:trPr>
        <w:tc>
          <w:tcPr>
            <w:tcW w:w="916" w:type="dxa"/>
            <w:tcBorders>
              <w:left w:val="single" w:sz="4" w:space="0" w:color="000000"/>
              <w:bottom w:val="single" w:sz="4" w:space="0" w:color="000000"/>
              <w:right w:val="single" w:sz="4" w:space="0" w:color="000000"/>
            </w:tcBorders>
            <w:shd w:val="clear" w:color="auto" w:fill="auto"/>
            <w:vAlign w:val="bottom"/>
          </w:tcPr>
          <w:p w14:paraId="58FC3CEB" w14:textId="77777777" w:rsidR="00CC333D" w:rsidRDefault="00000000">
            <w:pPr>
              <w:suppressAutoHyphens w:val="0"/>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3002" w:type="dxa"/>
            <w:tcBorders>
              <w:bottom w:val="single" w:sz="4" w:space="0" w:color="000000"/>
              <w:right w:val="single" w:sz="4" w:space="0" w:color="000000"/>
            </w:tcBorders>
            <w:shd w:val="clear" w:color="auto" w:fill="auto"/>
            <w:vAlign w:val="bottom"/>
          </w:tcPr>
          <w:p w14:paraId="5FB9D724" w14:textId="77777777" w:rsidR="00CC333D" w:rsidRDefault="00000000">
            <w:pPr>
              <w:suppressAutoHyphens w:val="0"/>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Više pojedinačnih tužbi iz domene radnih odnosa (patronaža)</w:t>
            </w:r>
          </w:p>
        </w:tc>
        <w:tc>
          <w:tcPr>
            <w:tcW w:w="2459" w:type="dxa"/>
            <w:tcBorders>
              <w:bottom w:val="single" w:sz="4" w:space="0" w:color="000000"/>
              <w:right w:val="single" w:sz="4" w:space="0" w:color="000000"/>
            </w:tcBorders>
            <w:shd w:val="clear" w:color="auto" w:fill="auto"/>
            <w:vAlign w:val="bottom"/>
          </w:tcPr>
          <w:p w14:paraId="777F5CC3"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4.628,00</w:t>
            </w:r>
          </w:p>
        </w:tc>
        <w:tc>
          <w:tcPr>
            <w:tcW w:w="736" w:type="dxa"/>
            <w:tcBorders>
              <w:bottom w:val="single" w:sz="4" w:space="0" w:color="000000"/>
              <w:right w:val="single" w:sz="4" w:space="0" w:color="000000"/>
            </w:tcBorders>
            <w:shd w:val="clear" w:color="auto" w:fill="auto"/>
            <w:vAlign w:val="bottom"/>
          </w:tcPr>
          <w:p w14:paraId="6C169920"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EUR</w:t>
            </w:r>
          </w:p>
        </w:tc>
        <w:tc>
          <w:tcPr>
            <w:tcW w:w="2067" w:type="dxa"/>
            <w:tcBorders>
              <w:bottom w:val="single" w:sz="4" w:space="0" w:color="000000"/>
              <w:right w:val="single" w:sz="4" w:space="0" w:color="000000"/>
            </w:tcBorders>
            <w:shd w:val="clear" w:color="auto" w:fill="auto"/>
            <w:vAlign w:val="bottom"/>
          </w:tcPr>
          <w:p w14:paraId="39FD5D3B" w14:textId="77777777" w:rsidR="00CC333D" w:rsidRDefault="00000000">
            <w:pPr>
              <w:suppressAutoHyphens w:val="0"/>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2025.g.-2026.g</w:t>
            </w:r>
          </w:p>
        </w:tc>
      </w:tr>
      <w:tr w:rsidR="00CC333D" w14:paraId="26E3F871" w14:textId="77777777">
        <w:trPr>
          <w:trHeight w:val="732"/>
        </w:trPr>
        <w:tc>
          <w:tcPr>
            <w:tcW w:w="39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3D1C73" w14:textId="77777777" w:rsidR="00CC333D" w:rsidRDefault="00000000">
            <w:pPr>
              <w:suppressAutoHyphens w:val="0"/>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UKUPNO:</w:t>
            </w:r>
          </w:p>
        </w:tc>
        <w:tc>
          <w:tcPr>
            <w:tcW w:w="2459" w:type="dxa"/>
            <w:tcBorders>
              <w:bottom w:val="single" w:sz="4" w:space="0" w:color="000000"/>
              <w:right w:val="single" w:sz="4" w:space="0" w:color="000000"/>
            </w:tcBorders>
            <w:shd w:val="clear" w:color="auto" w:fill="auto"/>
            <w:vAlign w:val="bottom"/>
          </w:tcPr>
          <w:p w14:paraId="7A791FE5" w14:textId="77777777" w:rsidR="00CC333D" w:rsidRDefault="00000000">
            <w:pPr>
              <w:suppressAutoHyphens w:val="0"/>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61.421,00</w:t>
            </w:r>
          </w:p>
        </w:tc>
        <w:tc>
          <w:tcPr>
            <w:tcW w:w="736" w:type="dxa"/>
            <w:tcBorders>
              <w:bottom w:val="single" w:sz="4" w:space="0" w:color="000000"/>
              <w:right w:val="single" w:sz="4" w:space="0" w:color="000000"/>
            </w:tcBorders>
            <w:shd w:val="clear" w:color="auto" w:fill="auto"/>
            <w:vAlign w:val="bottom"/>
          </w:tcPr>
          <w:p w14:paraId="13C99645" w14:textId="77777777" w:rsidR="00CC333D" w:rsidRDefault="00000000">
            <w:pPr>
              <w:suppressAutoHyphens w:val="0"/>
              <w:spacing w:after="0" w:line="240" w:lineRule="auto"/>
              <w:jc w:val="right"/>
              <w:rPr>
                <w:rFonts w:ascii="Times New Roman" w:eastAsia="Times New Roman" w:hAnsi="Times New Roman" w:cs="Times New Roman"/>
                <w:b/>
                <w:bCs/>
                <w:color w:val="000000"/>
                <w:sz w:val="20"/>
                <w:szCs w:val="20"/>
                <w:lang w:eastAsia="hr-HR"/>
              </w:rPr>
            </w:pPr>
            <w:r>
              <w:rPr>
                <w:rFonts w:ascii="Times New Roman" w:eastAsia="Times New Roman" w:hAnsi="Times New Roman" w:cs="Times New Roman"/>
                <w:b/>
                <w:bCs/>
                <w:color w:val="000000"/>
                <w:sz w:val="20"/>
                <w:szCs w:val="20"/>
                <w:lang w:eastAsia="hr-HR"/>
              </w:rPr>
              <w:t>EUR</w:t>
            </w:r>
          </w:p>
        </w:tc>
        <w:tc>
          <w:tcPr>
            <w:tcW w:w="2067" w:type="dxa"/>
            <w:tcBorders>
              <w:bottom w:val="single" w:sz="4" w:space="0" w:color="000000"/>
              <w:right w:val="single" w:sz="4" w:space="0" w:color="000000"/>
            </w:tcBorders>
            <w:shd w:val="clear" w:color="auto" w:fill="auto"/>
            <w:vAlign w:val="bottom"/>
          </w:tcPr>
          <w:p w14:paraId="37969522" w14:textId="77777777" w:rsidR="00CC333D" w:rsidRDefault="00CC333D">
            <w:pPr>
              <w:suppressAutoHyphens w:val="0"/>
              <w:spacing w:after="0" w:line="240" w:lineRule="auto"/>
              <w:rPr>
                <w:rFonts w:ascii="Times New Roman" w:eastAsia="Times New Roman" w:hAnsi="Times New Roman" w:cs="Times New Roman"/>
                <w:color w:val="000000"/>
                <w:sz w:val="20"/>
                <w:szCs w:val="20"/>
                <w:lang w:eastAsia="hr-HR"/>
              </w:rPr>
            </w:pPr>
          </w:p>
        </w:tc>
      </w:tr>
    </w:tbl>
    <w:p w14:paraId="12BEDEA5" w14:textId="77777777" w:rsidR="00CC333D" w:rsidRDefault="00CC333D">
      <w:pPr>
        <w:pStyle w:val="Bezproreda"/>
        <w:rPr>
          <w:sz w:val="24"/>
          <w:szCs w:val="24"/>
        </w:rPr>
      </w:pPr>
    </w:p>
    <w:p w14:paraId="3F702061" w14:textId="77777777" w:rsidR="00CC333D" w:rsidRDefault="00CC333D">
      <w:pPr>
        <w:pStyle w:val="Bezproreda"/>
        <w:rPr>
          <w:sz w:val="24"/>
          <w:szCs w:val="24"/>
        </w:rPr>
      </w:pPr>
    </w:p>
    <w:p w14:paraId="4B970B2B" w14:textId="77777777" w:rsidR="00CC333D" w:rsidRDefault="00CC333D">
      <w:pPr>
        <w:pStyle w:val="Bezproreda"/>
        <w:rPr>
          <w:sz w:val="24"/>
          <w:szCs w:val="24"/>
        </w:rPr>
      </w:pPr>
    </w:p>
    <w:p w14:paraId="7C9459F8" w14:textId="77777777" w:rsidR="00CC333D" w:rsidRDefault="00CC333D">
      <w:pPr>
        <w:pStyle w:val="Bezproreda"/>
        <w:rPr>
          <w:sz w:val="24"/>
          <w:szCs w:val="24"/>
        </w:rPr>
      </w:pPr>
    </w:p>
    <w:p w14:paraId="624C67C4" w14:textId="77777777" w:rsidR="00CC333D" w:rsidRDefault="00CC333D">
      <w:pPr>
        <w:pStyle w:val="Bezproreda"/>
        <w:rPr>
          <w:sz w:val="24"/>
          <w:szCs w:val="24"/>
        </w:rPr>
      </w:pPr>
    </w:p>
    <w:p w14:paraId="2835C0F7" w14:textId="77777777" w:rsidR="00CC333D" w:rsidRDefault="00CC333D">
      <w:pPr>
        <w:pStyle w:val="Bezproreda"/>
        <w:rPr>
          <w:sz w:val="24"/>
          <w:szCs w:val="24"/>
        </w:rPr>
      </w:pPr>
    </w:p>
    <w:p w14:paraId="313899C0" w14:textId="77777777" w:rsidR="00CC333D" w:rsidRDefault="00CC333D">
      <w:pPr>
        <w:pStyle w:val="Bezproreda"/>
        <w:jc w:val="center"/>
        <w:rPr>
          <w:rFonts w:ascii="Times New Roman" w:hAnsi="Times New Roman" w:cs="Times New Roman"/>
          <w:b/>
          <w:iCs/>
          <w:sz w:val="24"/>
          <w:szCs w:val="24"/>
        </w:rPr>
      </w:pPr>
    </w:p>
    <w:p w14:paraId="636F224E" w14:textId="77777777" w:rsidR="00CC333D" w:rsidRDefault="00CC333D">
      <w:pPr>
        <w:pStyle w:val="Bezproreda"/>
        <w:jc w:val="center"/>
        <w:rPr>
          <w:rFonts w:ascii="Times New Roman" w:hAnsi="Times New Roman" w:cs="Times New Roman"/>
          <w:b/>
          <w:iCs/>
          <w:sz w:val="24"/>
          <w:szCs w:val="24"/>
        </w:rPr>
      </w:pPr>
    </w:p>
    <w:p w14:paraId="5C3F038C" w14:textId="77777777" w:rsidR="0042302B" w:rsidRDefault="0042302B">
      <w:pPr>
        <w:pStyle w:val="Bezproreda"/>
        <w:jc w:val="center"/>
        <w:rPr>
          <w:rFonts w:ascii="Times New Roman" w:hAnsi="Times New Roman" w:cs="Times New Roman"/>
          <w:b/>
          <w:iCs/>
          <w:sz w:val="24"/>
          <w:szCs w:val="24"/>
        </w:rPr>
      </w:pPr>
    </w:p>
    <w:p w14:paraId="3983F615" w14:textId="7A2E45F7" w:rsidR="00CC333D" w:rsidRDefault="00000000">
      <w:pPr>
        <w:pStyle w:val="Bezproreda"/>
        <w:jc w:val="center"/>
        <w:rPr>
          <w:rFonts w:ascii="Times New Roman" w:hAnsi="Times New Roman" w:cs="Times New Roman"/>
          <w:b/>
          <w:iCs/>
          <w:sz w:val="24"/>
          <w:szCs w:val="24"/>
        </w:rPr>
      </w:pPr>
      <w:r>
        <w:rPr>
          <w:rFonts w:ascii="Times New Roman" w:hAnsi="Times New Roman" w:cs="Times New Roman"/>
          <w:b/>
          <w:iCs/>
          <w:sz w:val="24"/>
          <w:szCs w:val="24"/>
        </w:rPr>
        <w:t>IZVJEŠTAJ O RASHODIMA PREMA FUNKCIJSKOJ KLASIFIKACIJI</w:t>
      </w:r>
    </w:p>
    <w:p w14:paraId="1684651D" w14:textId="77777777" w:rsidR="00CC333D" w:rsidRDefault="00000000">
      <w:pPr>
        <w:pStyle w:val="Bezproreda"/>
        <w:jc w:val="center"/>
        <w:rPr>
          <w:rFonts w:ascii="Times New Roman" w:hAnsi="Times New Roman" w:cs="Times New Roman"/>
          <w:b/>
          <w:iCs/>
          <w:sz w:val="24"/>
          <w:szCs w:val="24"/>
        </w:rPr>
      </w:pPr>
      <w:r>
        <w:rPr>
          <w:rFonts w:ascii="Times New Roman" w:hAnsi="Times New Roman" w:cs="Times New Roman"/>
          <w:b/>
          <w:iCs/>
          <w:sz w:val="24"/>
          <w:szCs w:val="24"/>
        </w:rPr>
        <w:t>(OBRAZAC RAS – FUNKCIJSKI)</w:t>
      </w:r>
    </w:p>
    <w:p w14:paraId="7027C912" w14:textId="77777777" w:rsidR="00CC333D" w:rsidRDefault="00CC333D">
      <w:pPr>
        <w:pStyle w:val="Bezproreda"/>
        <w:rPr>
          <w:rFonts w:ascii="Times New Roman" w:hAnsi="Times New Roman" w:cs="Times New Roman"/>
          <w:iCs/>
          <w:sz w:val="24"/>
          <w:szCs w:val="24"/>
        </w:rPr>
      </w:pPr>
    </w:p>
    <w:p w14:paraId="4159B8F1"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Funkcijska klasifikacija sadrži rashode razvrstane prema njihovoj namjeni. Prema funkcijskoj klasifikaciji razvrstavaju se rashodi poslovanja razreda 3 i rashodi za nabavu nefinancijske imovine razreda 4.  Opće medicinske usluge (šifra 0721) iznose 9.778.771,27 eura.</w:t>
      </w:r>
    </w:p>
    <w:p w14:paraId="2A18C3B4" w14:textId="77777777" w:rsidR="00CC333D" w:rsidRDefault="00CC333D">
      <w:pPr>
        <w:pStyle w:val="Bezproreda"/>
        <w:jc w:val="both"/>
        <w:rPr>
          <w:rFonts w:ascii="Times New Roman" w:hAnsi="Times New Roman" w:cs="Times New Roman"/>
          <w:iCs/>
          <w:sz w:val="24"/>
          <w:szCs w:val="24"/>
        </w:rPr>
      </w:pPr>
    </w:p>
    <w:p w14:paraId="1318952E" w14:textId="77777777" w:rsidR="00CC333D" w:rsidRDefault="00CC333D">
      <w:pPr>
        <w:pStyle w:val="Bezproreda"/>
        <w:jc w:val="center"/>
        <w:rPr>
          <w:rFonts w:ascii="Times New Roman" w:hAnsi="Times New Roman" w:cs="Times New Roman"/>
          <w:b/>
          <w:bCs/>
          <w:iCs/>
          <w:sz w:val="24"/>
          <w:szCs w:val="24"/>
        </w:rPr>
      </w:pPr>
    </w:p>
    <w:p w14:paraId="311FAF72" w14:textId="77777777" w:rsidR="00CC333D" w:rsidRDefault="00CC333D">
      <w:pPr>
        <w:pStyle w:val="Bezproreda"/>
        <w:jc w:val="center"/>
        <w:rPr>
          <w:rFonts w:ascii="Times New Roman" w:hAnsi="Times New Roman" w:cs="Times New Roman"/>
          <w:b/>
          <w:bCs/>
          <w:iCs/>
          <w:sz w:val="24"/>
          <w:szCs w:val="24"/>
        </w:rPr>
      </w:pPr>
    </w:p>
    <w:p w14:paraId="75DB53E4" w14:textId="77777777" w:rsidR="0042302B" w:rsidRDefault="0042302B" w:rsidP="00546E46">
      <w:pPr>
        <w:pStyle w:val="Bezproreda"/>
        <w:rPr>
          <w:rFonts w:ascii="Times New Roman" w:hAnsi="Times New Roman" w:cs="Times New Roman"/>
          <w:b/>
          <w:bCs/>
          <w:iCs/>
          <w:sz w:val="24"/>
          <w:szCs w:val="24"/>
        </w:rPr>
      </w:pPr>
    </w:p>
    <w:p w14:paraId="4A489F2D" w14:textId="52C1F4DB" w:rsidR="00CC333D" w:rsidRDefault="00000000">
      <w:pPr>
        <w:pStyle w:val="Bezproreda"/>
        <w:jc w:val="center"/>
        <w:rPr>
          <w:rFonts w:ascii="Times New Roman" w:hAnsi="Times New Roman" w:cs="Times New Roman"/>
          <w:b/>
          <w:bCs/>
          <w:iCs/>
          <w:sz w:val="24"/>
          <w:szCs w:val="24"/>
        </w:rPr>
      </w:pPr>
      <w:r>
        <w:rPr>
          <w:rFonts w:ascii="Times New Roman" w:hAnsi="Times New Roman" w:cs="Times New Roman"/>
          <w:b/>
          <w:bCs/>
          <w:iCs/>
          <w:sz w:val="24"/>
          <w:szCs w:val="24"/>
        </w:rPr>
        <w:t>IZVJEŠTAJ O PROMJENAMA U VRIJEDNOSTI I OBUJMU IMOVINE I OBVEZA</w:t>
      </w:r>
    </w:p>
    <w:p w14:paraId="5F0F7110" w14:textId="77777777" w:rsidR="00CC333D" w:rsidRDefault="00000000">
      <w:pPr>
        <w:pStyle w:val="Bezproreda"/>
        <w:jc w:val="center"/>
        <w:rPr>
          <w:rFonts w:ascii="Times New Roman" w:hAnsi="Times New Roman" w:cs="Times New Roman"/>
          <w:b/>
          <w:bCs/>
          <w:iCs/>
          <w:sz w:val="24"/>
          <w:szCs w:val="24"/>
        </w:rPr>
      </w:pPr>
      <w:r>
        <w:rPr>
          <w:rFonts w:ascii="Times New Roman" w:hAnsi="Times New Roman" w:cs="Times New Roman"/>
          <w:b/>
          <w:bCs/>
          <w:iCs/>
          <w:sz w:val="24"/>
          <w:szCs w:val="24"/>
        </w:rPr>
        <w:t>(OBRAZAC P-VRIO)</w:t>
      </w:r>
    </w:p>
    <w:p w14:paraId="6E716C58" w14:textId="77777777" w:rsidR="00CC333D" w:rsidRDefault="00CC333D">
      <w:pPr>
        <w:pStyle w:val="Bezproreda"/>
        <w:jc w:val="center"/>
        <w:rPr>
          <w:rFonts w:ascii="Times New Roman" w:hAnsi="Times New Roman" w:cs="Times New Roman"/>
          <w:b/>
          <w:bCs/>
          <w:iCs/>
          <w:sz w:val="24"/>
          <w:szCs w:val="24"/>
        </w:rPr>
      </w:pPr>
    </w:p>
    <w:p w14:paraId="10565DA3" w14:textId="77777777" w:rsidR="00CC333D" w:rsidRDefault="00000000">
      <w:pPr>
        <w:pStyle w:val="Bezproreda"/>
        <w:jc w:val="both"/>
        <w:rPr>
          <w:rFonts w:ascii="Times New Roman" w:hAnsi="Times New Roman" w:cs="Times New Roman"/>
          <w:bCs/>
          <w:iCs/>
          <w:sz w:val="24"/>
          <w:szCs w:val="24"/>
        </w:rPr>
      </w:pPr>
      <w:r>
        <w:rPr>
          <w:rFonts w:ascii="Times New Roman" w:hAnsi="Times New Roman" w:cs="Times New Roman"/>
          <w:bCs/>
          <w:iCs/>
          <w:sz w:val="24"/>
          <w:szCs w:val="24"/>
        </w:rPr>
        <w:t>U izvještajnom razdoblju  promjena u vrijednosti i obujmu imovine i obveza iznosi 73.669,98 eura a u naravi se odnosi na otpis dospjelih potraživanja prema raznim pravnim i fizičkim osobama u iznosu od 50.989,63 eura i 22.680,35 eura isknjiženih predujmova iz prethodnih godina.</w:t>
      </w:r>
    </w:p>
    <w:p w14:paraId="5C52FED2" w14:textId="77777777" w:rsidR="00CC333D" w:rsidRDefault="00CC333D">
      <w:pPr>
        <w:pStyle w:val="Bezproreda"/>
        <w:rPr>
          <w:rFonts w:ascii="Times New Roman" w:hAnsi="Times New Roman" w:cs="Times New Roman"/>
          <w:bCs/>
          <w:iCs/>
          <w:sz w:val="24"/>
          <w:szCs w:val="24"/>
        </w:rPr>
      </w:pPr>
    </w:p>
    <w:p w14:paraId="77069880" w14:textId="77777777" w:rsidR="00CC333D" w:rsidRDefault="00CC333D">
      <w:pPr>
        <w:pStyle w:val="Bezproreda"/>
        <w:rPr>
          <w:rFonts w:ascii="Times New Roman" w:hAnsi="Times New Roman" w:cs="Times New Roman"/>
          <w:bCs/>
          <w:iCs/>
          <w:sz w:val="24"/>
          <w:szCs w:val="24"/>
        </w:rPr>
      </w:pPr>
    </w:p>
    <w:p w14:paraId="53155B03" w14:textId="77777777" w:rsidR="00CC333D" w:rsidRDefault="00CC333D">
      <w:pPr>
        <w:pStyle w:val="Bezproreda"/>
        <w:rPr>
          <w:rFonts w:ascii="Times New Roman" w:hAnsi="Times New Roman" w:cs="Times New Roman"/>
          <w:b/>
          <w:iCs/>
          <w:sz w:val="24"/>
          <w:szCs w:val="24"/>
        </w:rPr>
      </w:pPr>
    </w:p>
    <w:p w14:paraId="4FDB6D21" w14:textId="77777777" w:rsidR="00CC333D" w:rsidRDefault="00CC333D" w:rsidP="00546E46">
      <w:pPr>
        <w:pStyle w:val="Bezproreda"/>
        <w:rPr>
          <w:rFonts w:ascii="Times New Roman" w:hAnsi="Times New Roman" w:cs="Times New Roman"/>
          <w:b/>
          <w:iCs/>
          <w:sz w:val="24"/>
          <w:szCs w:val="24"/>
        </w:rPr>
      </w:pPr>
    </w:p>
    <w:p w14:paraId="2FF66787" w14:textId="77777777" w:rsidR="00CC333D" w:rsidRDefault="00000000">
      <w:pPr>
        <w:pStyle w:val="Bezproreda"/>
        <w:jc w:val="center"/>
        <w:rPr>
          <w:rFonts w:ascii="Times New Roman" w:hAnsi="Times New Roman" w:cs="Times New Roman"/>
          <w:b/>
          <w:iCs/>
          <w:sz w:val="24"/>
          <w:szCs w:val="24"/>
        </w:rPr>
      </w:pPr>
      <w:r>
        <w:rPr>
          <w:rFonts w:ascii="Times New Roman" w:hAnsi="Times New Roman" w:cs="Times New Roman"/>
          <w:b/>
          <w:iCs/>
          <w:sz w:val="24"/>
          <w:szCs w:val="24"/>
        </w:rPr>
        <w:t>IZVJEŠTAJ O OBVEZAMA</w:t>
      </w:r>
    </w:p>
    <w:p w14:paraId="1AEE6609" w14:textId="77777777" w:rsidR="00CC333D" w:rsidRDefault="00000000">
      <w:pPr>
        <w:pStyle w:val="Bezproreda"/>
        <w:jc w:val="center"/>
        <w:rPr>
          <w:rFonts w:ascii="Times New Roman" w:hAnsi="Times New Roman" w:cs="Times New Roman"/>
          <w:b/>
          <w:iCs/>
          <w:sz w:val="24"/>
          <w:szCs w:val="24"/>
        </w:rPr>
      </w:pPr>
      <w:r>
        <w:rPr>
          <w:rFonts w:ascii="Times New Roman" w:hAnsi="Times New Roman" w:cs="Times New Roman"/>
          <w:b/>
          <w:iCs/>
          <w:sz w:val="24"/>
          <w:szCs w:val="24"/>
        </w:rPr>
        <w:t>(OBRAZAC OBVEZE)</w:t>
      </w:r>
    </w:p>
    <w:p w14:paraId="46CD1F64" w14:textId="77777777" w:rsidR="00CC333D" w:rsidRDefault="00CC333D">
      <w:pPr>
        <w:jc w:val="both"/>
        <w:rPr>
          <w:rFonts w:ascii="Times New Roman" w:hAnsi="Times New Roman" w:cs="Times New Roman"/>
          <w:color w:val="000000" w:themeColor="text1"/>
          <w:sz w:val="24"/>
          <w:szCs w:val="24"/>
        </w:rPr>
      </w:pPr>
    </w:p>
    <w:p w14:paraId="463A1B0A"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Stanje obveza na početku izvještajnog razdoblja (šifra V001) iznosilo je 1.687.328,83 eura , povećanje obveza (šifra V002) iznosilo je 10.080.728,46 eura, od čega je u izvještajnom razdoblju podmireno obveza (šifra V004) u iznosu 10.167.389,63 eura.</w:t>
      </w:r>
    </w:p>
    <w:p w14:paraId="3E2C350F" w14:textId="77777777" w:rsidR="00CC333D"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Stanje obveza na kraju izvještajnog razdoblja (šifra V006) iznosi 1.600.667,66 eura , od čega se na dospjele obveze (šifra V007 ) odnosi 198.559,58 eura, a na nedospjele (šifra V009) iznos od 1.402.108,08 eura (bruto plaća i dugoročni investicijski kredit). Dospjele obveze podmirit će se do kraja siječnja odnosno veljače 2025.g., a  nedospjele sukladno valuti.</w:t>
      </w:r>
    </w:p>
    <w:p w14:paraId="40FC65E7" w14:textId="77777777" w:rsidR="00CC333D" w:rsidRDefault="00CC333D">
      <w:pPr>
        <w:pStyle w:val="Bezproreda"/>
        <w:rPr>
          <w:rFonts w:ascii="Times New Roman" w:hAnsi="Times New Roman" w:cs="Times New Roman"/>
          <w:i/>
          <w:sz w:val="24"/>
          <w:szCs w:val="24"/>
        </w:rPr>
      </w:pPr>
    </w:p>
    <w:p w14:paraId="2DDE2683" w14:textId="77777777" w:rsidR="00CC333D" w:rsidRDefault="00CC333D">
      <w:pPr>
        <w:pStyle w:val="Bezproreda"/>
        <w:rPr>
          <w:rFonts w:ascii="Times New Roman" w:hAnsi="Times New Roman" w:cs="Times New Roman"/>
          <w:i/>
          <w:sz w:val="24"/>
          <w:szCs w:val="24"/>
        </w:rPr>
      </w:pPr>
    </w:p>
    <w:p w14:paraId="3E783007" w14:textId="77777777" w:rsidR="00CC333D" w:rsidRDefault="00000000">
      <w:pPr>
        <w:pStyle w:val="Bezproreda"/>
        <w:rPr>
          <w:rFonts w:ascii="Times New Roman" w:hAnsi="Times New Roman" w:cs="Times New Roman"/>
          <w:i/>
          <w:sz w:val="24"/>
          <w:szCs w:val="24"/>
        </w:rPr>
      </w:pPr>
      <w:r>
        <w:rPr>
          <w:rFonts w:ascii="Times New Roman" w:hAnsi="Times New Roman" w:cs="Times New Roman"/>
          <w:i/>
          <w:sz w:val="24"/>
          <w:szCs w:val="24"/>
        </w:rPr>
        <w:t xml:space="preserve"> </w:t>
      </w:r>
    </w:p>
    <w:p w14:paraId="6821EB64" w14:textId="0A246B30" w:rsidR="00CC333D" w:rsidRDefault="00000000" w:rsidP="00546E46">
      <w:pPr>
        <w:ind w:left="4956"/>
        <w:rPr>
          <w:rFonts w:ascii="Times New Roman" w:hAnsi="Times New Roman" w:cs="Times New Roman"/>
          <w:sz w:val="24"/>
          <w:szCs w:val="24"/>
        </w:rPr>
      </w:pPr>
      <w:r>
        <w:rPr>
          <w:rFonts w:ascii="Times New Roman" w:hAnsi="Times New Roman" w:cs="Times New Roman"/>
          <w:sz w:val="24"/>
          <w:szCs w:val="24"/>
        </w:rPr>
        <w:t xml:space="preserve"> </w:t>
      </w:r>
      <w:r w:rsidR="008B67CA">
        <w:rPr>
          <w:rFonts w:ascii="Times New Roman" w:hAnsi="Times New Roman" w:cs="Times New Roman"/>
          <w:sz w:val="24"/>
          <w:szCs w:val="24"/>
        </w:rPr>
        <w:t xml:space="preserve"> </w:t>
      </w:r>
      <w:r w:rsidR="0051072F">
        <w:rPr>
          <w:rFonts w:ascii="Times New Roman" w:hAnsi="Times New Roman" w:cs="Times New Roman"/>
          <w:sz w:val="24"/>
          <w:szCs w:val="24"/>
        </w:rPr>
        <w:t xml:space="preserve">      VD RAVNATELJA</w:t>
      </w:r>
    </w:p>
    <w:p w14:paraId="78505CBA" w14:textId="7CE40EA9" w:rsidR="00CC333D" w:rsidRDefault="00000000">
      <w:pPr>
        <w:ind w:left="4956"/>
        <w:rPr>
          <w:rFonts w:ascii="Times New Roman" w:hAnsi="Times New Roman" w:cs="Times New Roman"/>
          <w:sz w:val="24"/>
          <w:szCs w:val="24"/>
        </w:rPr>
      </w:pPr>
      <w:r>
        <w:rPr>
          <w:rFonts w:ascii="Times New Roman" w:hAnsi="Times New Roman" w:cs="Times New Roman"/>
          <w:sz w:val="24"/>
          <w:szCs w:val="24"/>
        </w:rPr>
        <w:t xml:space="preserve">mr. sc. Marko Kolega, dr. med. </w:t>
      </w:r>
    </w:p>
    <w:p w14:paraId="3E024002" w14:textId="77777777" w:rsidR="00CC333D" w:rsidRDefault="00CC333D">
      <w:pPr>
        <w:rPr>
          <w:rFonts w:ascii="Times New Roman" w:hAnsi="Times New Roman" w:cs="Times New Roman"/>
          <w:i/>
          <w:sz w:val="24"/>
          <w:szCs w:val="24"/>
        </w:rPr>
      </w:pPr>
    </w:p>
    <w:sectPr w:rsidR="00CC333D">
      <w:footerReference w:type="even" r:id="rId8"/>
      <w:footerReference w:type="default" r:id="rId9"/>
      <w:footerReference w:type="first" r:id="rId10"/>
      <w:pgSz w:w="11906" w:h="16838"/>
      <w:pgMar w:top="1417" w:right="1417" w:bottom="1417"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E2722" w14:textId="77777777" w:rsidR="00E14460" w:rsidRDefault="00E14460">
      <w:pPr>
        <w:spacing w:after="0" w:line="240" w:lineRule="auto"/>
      </w:pPr>
      <w:r>
        <w:separator/>
      </w:r>
    </w:p>
  </w:endnote>
  <w:endnote w:type="continuationSeparator" w:id="0">
    <w:p w14:paraId="549EC96C" w14:textId="77777777" w:rsidR="00E14460" w:rsidRDefault="00E1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w:altName w:val="Segoe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6E2F" w14:textId="77777777" w:rsidR="00CC333D" w:rsidRDefault="00CC333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041F" w14:textId="77777777" w:rsidR="00CC333D" w:rsidRDefault="00000000">
    <w:pPr>
      <w:pStyle w:val="Podnoje"/>
      <w:jc w:val="right"/>
    </w:pPr>
    <w:r>
      <w:t>__________________________________________________________________________________</w:t>
    </w:r>
  </w:p>
  <w:sdt>
    <w:sdtPr>
      <w:id w:val="1689947129"/>
      <w:docPartObj>
        <w:docPartGallery w:val="Page Numbers (Bottom of Page)"/>
        <w:docPartUnique/>
      </w:docPartObj>
    </w:sdtPr>
    <w:sdtContent>
      <w:p w14:paraId="0DAC229C" w14:textId="77777777" w:rsidR="00CC333D" w:rsidRDefault="00000000">
        <w:pPr>
          <w:pStyle w:val="Podnoje"/>
          <w:jc w:val="right"/>
          <w:rPr>
            <w:rFonts w:ascii="Arial" w:hAnsi="Arial" w:cs="Arial"/>
            <w:i/>
            <w:sz w:val="16"/>
            <w:szCs w:val="16"/>
          </w:rPr>
        </w:pPr>
        <w:r>
          <w:rPr>
            <w:rFonts w:ascii="Times New Roman" w:hAnsi="Times New Roman" w:cs="Times New Roman"/>
            <w:i/>
            <w:sz w:val="16"/>
            <w:szCs w:val="16"/>
          </w:rPr>
          <w:t xml:space="preserve">Bilješke   </w:t>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PAGE </w:instrText>
        </w:r>
        <w:r>
          <w:rPr>
            <w:rFonts w:ascii="Arial" w:hAnsi="Arial" w:cs="Arial"/>
            <w:i/>
            <w:sz w:val="16"/>
            <w:szCs w:val="16"/>
          </w:rPr>
          <w:fldChar w:fldCharType="separate"/>
        </w:r>
        <w:r>
          <w:rPr>
            <w:rFonts w:ascii="Arial" w:hAnsi="Arial" w:cs="Arial"/>
            <w:i/>
            <w:sz w:val="16"/>
            <w:szCs w:val="16"/>
          </w:rPr>
          <w:t>13</w:t>
        </w:r>
        <w:r>
          <w:rPr>
            <w:rFonts w:ascii="Arial" w:hAnsi="Arial" w:cs="Arial"/>
            <w:i/>
            <w:sz w:val="16"/>
            <w:szCs w:val="16"/>
          </w:rPr>
          <w:fldChar w:fldCharType="end"/>
        </w:r>
      </w:p>
      <w:p w14:paraId="1FB86C34" w14:textId="77777777" w:rsidR="00CC333D" w:rsidRDefault="00000000">
        <w:pPr>
          <w:pStyle w:val="Podnoj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558E" w14:textId="77777777" w:rsidR="00CC333D" w:rsidRDefault="00000000">
    <w:pPr>
      <w:pStyle w:val="Podnoje"/>
      <w:jc w:val="right"/>
    </w:pPr>
    <w:r>
      <w:t>__________________________________________________________________________________</w:t>
    </w:r>
  </w:p>
  <w:sdt>
    <w:sdtPr>
      <w:id w:val="1674066284"/>
      <w:docPartObj>
        <w:docPartGallery w:val="Page Numbers (Bottom of Page)"/>
        <w:docPartUnique/>
      </w:docPartObj>
    </w:sdtPr>
    <w:sdtContent>
      <w:p w14:paraId="4666ED12" w14:textId="77777777" w:rsidR="00CC333D" w:rsidRDefault="00000000">
        <w:pPr>
          <w:pStyle w:val="Podnoje"/>
          <w:jc w:val="right"/>
          <w:rPr>
            <w:rFonts w:ascii="Arial" w:hAnsi="Arial" w:cs="Arial"/>
            <w:i/>
            <w:sz w:val="16"/>
            <w:szCs w:val="16"/>
          </w:rPr>
        </w:pPr>
        <w:r>
          <w:rPr>
            <w:rFonts w:ascii="Times New Roman" w:hAnsi="Times New Roman" w:cs="Times New Roman"/>
            <w:i/>
            <w:sz w:val="16"/>
            <w:szCs w:val="16"/>
          </w:rPr>
          <w:t xml:space="preserve">Bilješke   </w:t>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PAGE </w:instrText>
        </w:r>
        <w:r>
          <w:rPr>
            <w:rFonts w:ascii="Arial" w:hAnsi="Arial" w:cs="Arial"/>
            <w:i/>
            <w:sz w:val="16"/>
            <w:szCs w:val="16"/>
          </w:rPr>
          <w:fldChar w:fldCharType="separate"/>
        </w:r>
        <w:r>
          <w:rPr>
            <w:rFonts w:ascii="Arial" w:hAnsi="Arial" w:cs="Arial"/>
            <w:i/>
            <w:sz w:val="16"/>
            <w:szCs w:val="16"/>
          </w:rPr>
          <w:t>13</w:t>
        </w:r>
        <w:r>
          <w:rPr>
            <w:rFonts w:ascii="Arial" w:hAnsi="Arial" w:cs="Arial"/>
            <w:i/>
            <w:sz w:val="16"/>
            <w:szCs w:val="16"/>
          </w:rPr>
          <w:fldChar w:fldCharType="end"/>
        </w:r>
      </w:p>
      <w:p w14:paraId="75A1B1A0" w14:textId="77777777" w:rsidR="00CC333D" w:rsidRDefault="00000000">
        <w:pPr>
          <w:pStyle w:val="Podnoj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94E82" w14:textId="77777777" w:rsidR="00E14460" w:rsidRDefault="00E14460">
      <w:pPr>
        <w:spacing w:after="0" w:line="240" w:lineRule="auto"/>
      </w:pPr>
      <w:r>
        <w:separator/>
      </w:r>
    </w:p>
  </w:footnote>
  <w:footnote w:type="continuationSeparator" w:id="0">
    <w:p w14:paraId="45B320A8" w14:textId="77777777" w:rsidR="00E14460" w:rsidRDefault="00E14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256"/>
    <w:multiLevelType w:val="multilevel"/>
    <w:tmpl w:val="4CEEB3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5A5044"/>
    <w:multiLevelType w:val="multilevel"/>
    <w:tmpl w:val="0EDED5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AA35A5"/>
    <w:multiLevelType w:val="multilevel"/>
    <w:tmpl w:val="96FCC736"/>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4648A4"/>
    <w:multiLevelType w:val="multilevel"/>
    <w:tmpl w:val="F550BB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469102F"/>
    <w:multiLevelType w:val="multilevel"/>
    <w:tmpl w:val="122C9F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C4208B4"/>
    <w:multiLevelType w:val="multilevel"/>
    <w:tmpl w:val="2512829E"/>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F405932"/>
    <w:multiLevelType w:val="multilevel"/>
    <w:tmpl w:val="41864556"/>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1BC2888"/>
    <w:multiLevelType w:val="multilevel"/>
    <w:tmpl w:val="61DA62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69F27E1"/>
    <w:multiLevelType w:val="multilevel"/>
    <w:tmpl w:val="2D34695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0EC3B0C"/>
    <w:multiLevelType w:val="multilevel"/>
    <w:tmpl w:val="F4DAED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4BF6AEA"/>
    <w:multiLevelType w:val="multilevel"/>
    <w:tmpl w:val="AD006DE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4EB0D6C"/>
    <w:multiLevelType w:val="multilevel"/>
    <w:tmpl w:val="1F2C4E1A"/>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7786C6F"/>
    <w:multiLevelType w:val="multilevel"/>
    <w:tmpl w:val="5DB2D9FC"/>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DDC0CF1"/>
    <w:multiLevelType w:val="multilevel"/>
    <w:tmpl w:val="72A0D470"/>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F482AE6"/>
    <w:multiLevelType w:val="multilevel"/>
    <w:tmpl w:val="CE5E77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3AE6007"/>
    <w:multiLevelType w:val="multilevel"/>
    <w:tmpl w:val="93465F0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15:restartNumberingAfterBreak="0">
    <w:nsid w:val="63B84CC5"/>
    <w:multiLevelType w:val="multilevel"/>
    <w:tmpl w:val="AB72CC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DB637B8"/>
    <w:multiLevelType w:val="multilevel"/>
    <w:tmpl w:val="9DA4213A"/>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0A65C3C"/>
    <w:multiLevelType w:val="multilevel"/>
    <w:tmpl w:val="7AA23418"/>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83D2042"/>
    <w:multiLevelType w:val="multilevel"/>
    <w:tmpl w:val="736ED32C"/>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B1E7AAD"/>
    <w:multiLevelType w:val="multilevel"/>
    <w:tmpl w:val="FD74D0B2"/>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89837081">
    <w:abstractNumId w:val="4"/>
  </w:num>
  <w:num w:numId="2" w16cid:durableId="629164398">
    <w:abstractNumId w:val="13"/>
  </w:num>
  <w:num w:numId="3" w16cid:durableId="1625116233">
    <w:abstractNumId w:val="15"/>
  </w:num>
  <w:num w:numId="4" w16cid:durableId="1705790959">
    <w:abstractNumId w:val="0"/>
  </w:num>
  <w:num w:numId="5" w16cid:durableId="109446374">
    <w:abstractNumId w:val="7"/>
  </w:num>
  <w:num w:numId="6" w16cid:durableId="673149272">
    <w:abstractNumId w:val="9"/>
  </w:num>
  <w:num w:numId="7" w16cid:durableId="40717964">
    <w:abstractNumId w:val="14"/>
  </w:num>
  <w:num w:numId="8" w16cid:durableId="875041431">
    <w:abstractNumId w:val="3"/>
  </w:num>
  <w:num w:numId="9" w16cid:durableId="2068801657">
    <w:abstractNumId w:val="1"/>
  </w:num>
  <w:num w:numId="10" w16cid:durableId="763913458">
    <w:abstractNumId w:val="2"/>
  </w:num>
  <w:num w:numId="11" w16cid:durableId="1226407171">
    <w:abstractNumId w:val="17"/>
  </w:num>
  <w:num w:numId="12" w16cid:durableId="1759445925">
    <w:abstractNumId w:val="5"/>
  </w:num>
  <w:num w:numId="13" w16cid:durableId="1439906884">
    <w:abstractNumId w:val="19"/>
  </w:num>
  <w:num w:numId="14" w16cid:durableId="2062097522">
    <w:abstractNumId w:val="8"/>
  </w:num>
  <w:num w:numId="15" w16cid:durableId="345248680">
    <w:abstractNumId w:val="6"/>
  </w:num>
  <w:num w:numId="16" w16cid:durableId="1123159649">
    <w:abstractNumId w:val="18"/>
  </w:num>
  <w:num w:numId="17" w16cid:durableId="1240016006">
    <w:abstractNumId w:val="12"/>
  </w:num>
  <w:num w:numId="18" w16cid:durableId="1024286747">
    <w:abstractNumId w:val="11"/>
  </w:num>
  <w:num w:numId="19" w16cid:durableId="1405028507">
    <w:abstractNumId w:val="20"/>
  </w:num>
  <w:num w:numId="20" w16cid:durableId="755132260">
    <w:abstractNumId w:val="10"/>
  </w:num>
  <w:num w:numId="21" w16cid:durableId="1572233918">
    <w:abstractNumId w:val="16"/>
  </w:num>
  <w:num w:numId="22" w16cid:durableId="1797916950">
    <w:abstractNumId w:val="0"/>
    <w:lvlOverride w:ilvl="0">
      <w:startOverride w:val="1"/>
    </w:lvlOverride>
  </w:num>
  <w:num w:numId="23" w16cid:durableId="1431924726">
    <w:abstractNumId w:val="0"/>
  </w:num>
  <w:num w:numId="24" w16cid:durableId="106969410">
    <w:abstractNumId w:val="0"/>
  </w:num>
  <w:num w:numId="25" w16cid:durableId="192350638">
    <w:abstractNumId w:val="14"/>
    <w:lvlOverride w:ilvl="0">
      <w:startOverride w:val="1"/>
    </w:lvlOverride>
  </w:num>
  <w:num w:numId="26" w16cid:durableId="679046637">
    <w:abstractNumId w:val="14"/>
  </w:num>
  <w:num w:numId="27" w16cid:durableId="1295990916">
    <w:abstractNumId w:val="14"/>
  </w:num>
  <w:num w:numId="28" w16cid:durableId="1727801104">
    <w:abstractNumId w:val="13"/>
  </w:num>
  <w:num w:numId="29" w16cid:durableId="84501715">
    <w:abstractNumId w:val="13"/>
  </w:num>
  <w:num w:numId="30" w16cid:durableId="2013679945">
    <w:abstractNumId w:val="13"/>
  </w:num>
  <w:num w:numId="31" w16cid:durableId="1479419639">
    <w:abstractNumId w:val="13"/>
  </w:num>
  <w:num w:numId="32" w16cid:durableId="220216185">
    <w:abstractNumId w:val="13"/>
  </w:num>
  <w:num w:numId="33" w16cid:durableId="583028341">
    <w:abstractNumId w:val="13"/>
  </w:num>
  <w:num w:numId="34" w16cid:durableId="897469982">
    <w:abstractNumId w:val="13"/>
  </w:num>
  <w:num w:numId="35" w16cid:durableId="502166310">
    <w:abstractNumId w:val="13"/>
  </w:num>
  <w:num w:numId="36" w16cid:durableId="1931616961">
    <w:abstractNumId w:val="13"/>
  </w:num>
  <w:num w:numId="37" w16cid:durableId="463624238">
    <w:abstractNumId w:val="13"/>
  </w:num>
  <w:num w:numId="38" w16cid:durableId="1097796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CC333D"/>
    <w:rsid w:val="00004B40"/>
    <w:rsid w:val="00051D07"/>
    <w:rsid w:val="000A7E87"/>
    <w:rsid w:val="000B27FB"/>
    <w:rsid w:val="000D76F6"/>
    <w:rsid w:val="001230FC"/>
    <w:rsid w:val="00152A49"/>
    <w:rsid w:val="001B32CC"/>
    <w:rsid w:val="001E35BD"/>
    <w:rsid w:val="002350A0"/>
    <w:rsid w:val="002A0BAA"/>
    <w:rsid w:val="002B612F"/>
    <w:rsid w:val="003026B7"/>
    <w:rsid w:val="00310BA5"/>
    <w:rsid w:val="00382E7C"/>
    <w:rsid w:val="003858C7"/>
    <w:rsid w:val="003D4956"/>
    <w:rsid w:val="004131CC"/>
    <w:rsid w:val="0042302B"/>
    <w:rsid w:val="00467560"/>
    <w:rsid w:val="004D6195"/>
    <w:rsid w:val="004E5F05"/>
    <w:rsid w:val="004F5537"/>
    <w:rsid w:val="0051072F"/>
    <w:rsid w:val="00527A78"/>
    <w:rsid w:val="00546E46"/>
    <w:rsid w:val="005820EF"/>
    <w:rsid w:val="005F6354"/>
    <w:rsid w:val="00603A17"/>
    <w:rsid w:val="00644430"/>
    <w:rsid w:val="006556EC"/>
    <w:rsid w:val="006575DB"/>
    <w:rsid w:val="00695B2D"/>
    <w:rsid w:val="006C5A01"/>
    <w:rsid w:val="006E280C"/>
    <w:rsid w:val="00715FD2"/>
    <w:rsid w:val="00744C49"/>
    <w:rsid w:val="00794CF8"/>
    <w:rsid w:val="007C041B"/>
    <w:rsid w:val="00805856"/>
    <w:rsid w:val="00830A12"/>
    <w:rsid w:val="008703A9"/>
    <w:rsid w:val="0089622B"/>
    <w:rsid w:val="008B67CA"/>
    <w:rsid w:val="008C7290"/>
    <w:rsid w:val="008C72CE"/>
    <w:rsid w:val="009247B2"/>
    <w:rsid w:val="00943837"/>
    <w:rsid w:val="00987CB1"/>
    <w:rsid w:val="009A7F81"/>
    <w:rsid w:val="009E7E91"/>
    <w:rsid w:val="00A02417"/>
    <w:rsid w:val="00A15DCD"/>
    <w:rsid w:val="00A80688"/>
    <w:rsid w:val="00A80A80"/>
    <w:rsid w:val="00AA18E1"/>
    <w:rsid w:val="00AA2B7C"/>
    <w:rsid w:val="00AA6770"/>
    <w:rsid w:val="00AA7EFE"/>
    <w:rsid w:val="00B0147F"/>
    <w:rsid w:val="00B05E59"/>
    <w:rsid w:val="00B17268"/>
    <w:rsid w:val="00B91B25"/>
    <w:rsid w:val="00BB379C"/>
    <w:rsid w:val="00C139C2"/>
    <w:rsid w:val="00C2516F"/>
    <w:rsid w:val="00C25384"/>
    <w:rsid w:val="00C41439"/>
    <w:rsid w:val="00C66B6C"/>
    <w:rsid w:val="00C724A5"/>
    <w:rsid w:val="00C74BA6"/>
    <w:rsid w:val="00C83F63"/>
    <w:rsid w:val="00CA1662"/>
    <w:rsid w:val="00CA394A"/>
    <w:rsid w:val="00CC333D"/>
    <w:rsid w:val="00CD55B7"/>
    <w:rsid w:val="00D67935"/>
    <w:rsid w:val="00DA659E"/>
    <w:rsid w:val="00E02D4B"/>
    <w:rsid w:val="00E14460"/>
    <w:rsid w:val="00E50B21"/>
    <w:rsid w:val="00E70981"/>
    <w:rsid w:val="00E7120E"/>
    <w:rsid w:val="00EC1D27"/>
    <w:rsid w:val="00F13454"/>
    <w:rsid w:val="00F46F67"/>
    <w:rsid w:val="00F561FA"/>
    <w:rsid w:val="00FA46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0ED3"/>
  <w15:docId w15:val="{1B579913-56F6-4F03-9D6F-22BB9C1B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652"/>
    <w:pPr>
      <w:spacing w:after="200" w:line="276" w:lineRule="auto"/>
    </w:pPr>
  </w:style>
  <w:style w:type="paragraph" w:styleId="Naslov2">
    <w:name w:val="heading 2"/>
    <w:basedOn w:val="Normal"/>
    <w:link w:val="Naslov2Char"/>
    <w:uiPriority w:val="9"/>
    <w:qFormat/>
    <w:rsid w:val="00B41E9E"/>
    <w:pPr>
      <w:spacing w:beforeAutospacing="1"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5A54F6"/>
  </w:style>
  <w:style w:type="character" w:customStyle="1" w:styleId="PodnojeChar">
    <w:name w:val="Podnožje Char"/>
    <w:basedOn w:val="Zadanifontodlomka"/>
    <w:link w:val="Podnoje"/>
    <w:uiPriority w:val="99"/>
    <w:qFormat/>
    <w:rsid w:val="005A54F6"/>
  </w:style>
  <w:style w:type="character" w:styleId="Hiperveza">
    <w:name w:val="Hyperlink"/>
    <w:basedOn w:val="Zadanifontodlomka"/>
    <w:uiPriority w:val="99"/>
    <w:semiHidden/>
    <w:unhideWhenUsed/>
    <w:rsid w:val="007B0155"/>
    <w:rPr>
      <w:color w:val="0000FF"/>
      <w:u w:val="single"/>
    </w:rPr>
  </w:style>
  <w:style w:type="character" w:customStyle="1" w:styleId="TekstbaloniaChar">
    <w:name w:val="Tekst balončića Char"/>
    <w:basedOn w:val="Zadanifontodlomka"/>
    <w:link w:val="Tekstbalonia"/>
    <w:uiPriority w:val="99"/>
    <w:semiHidden/>
    <w:qFormat/>
    <w:rsid w:val="006D775E"/>
    <w:rPr>
      <w:rFonts w:ascii="Segoe UI" w:hAnsi="Segoe UI" w:cs="Segoe UI"/>
      <w:sz w:val="18"/>
      <w:szCs w:val="18"/>
    </w:rPr>
  </w:style>
  <w:style w:type="character" w:customStyle="1" w:styleId="Naslov2Char">
    <w:name w:val="Naslov 2 Char"/>
    <w:basedOn w:val="Zadanifontodlomka"/>
    <w:link w:val="Naslov2"/>
    <w:uiPriority w:val="9"/>
    <w:qFormat/>
    <w:rsid w:val="00B41E9E"/>
    <w:rPr>
      <w:rFonts w:ascii="Times New Roman" w:eastAsia="Times New Roman" w:hAnsi="Times New Roman" w:cs="Times New Roman"/>
      <w:b/>
      <w:bCs/>
      <w:sz w:val="36"/>
      <w:szCs w:val="36"/>
      <w:lang w:eastAsia="hr-HR"/>
    </w:rPr>
  </w:style>
  <w:style w:type="character" w:customStyle="1" w:styleId="BezproredaChar">
    <w:name w:val="Bez proreda Char"/>
    <w:link w:val="Bezproreda"/>
    <w:uiPriority w:val="1"/>
    <w:qFormat/>
    <w:locked/>
    <w:rsid w:val="006E72FF"/>
  </w:style>
  <w:style w:type="paragraph" w:customStyle="1" w:styleId="Heading">
    <w:name w:val="Heading"/>
    <w:basedOn w:val="Normal"/>
    <w:next w:val="Tijeloteksta"/>
    <w:qFormat/>
    <w:pPr>
      <w:keepNext/>
      <w:spacing w:before="240" w:after="120"/>
    </w:pPr>
    <w:rPr>
      <w:rFonts w:ascii="Liberation Sans" w:eastAsia="Noto Sans CJK SC" w:hAnsi="Liberation Sans" w:cs="Droid Sans"/>
      <w:sz w:val="28"/>
      <w:szCs w:val="28"/>
    </w:rPr>
  </w:style>
  <w:style w:type="paragraph" w:styleId="Tijeloteksta">
    <w:name w:val="Body Text"/>
    <w:basedOn w:val="Normal"/>
    <w:pPr>
      <w:spacing w:after="140"/>
    </w:pPr>
  </w:style>
  <w:style w:type="paragraph" w:styleId="Popis">
    <w:name w:val="List"/>
    <w:basedOn w:val="Tijeloteksta"/>
    <w:rPr>
      <w:rFonts w:cs="Droid Sans"/>
    </w:rPr>
  </w:style>
  <w:style w:type="paragraph" w:styleId="Opisslike">
    <w:name w:val="caption"/>
    <w:basedOn w:val="Normal"/>
    <w:qFormat/>
    <w:pPr>
      <w:suppressLineNumbers/>
      <w:spacing w:before="120" w:after="120"/>
    </w:pPr>
    <w:rPr>
      <w:rFonts w:cs="Droid Sans"/>
      <w:i/>
      <w:iCs/>
      <w:sz w:val="24"/>
      <w:szCs w:val="24"/>
    </w:rPr>
  </w:style>
  <w:style w:type="paragraph" w:customStyle="1" w:styleId="Index">
    <w:name w:val="Index"/>
    <w:basedOn w:val="Normal"/>
    <w:qFormat/>
    <w:pPr>
      <w:suppressLineNumbers/>
    </w:pPr>
    <w:rPr>
      <w:rFonts w:cs="Droid Sans"/>
    </w:rPr>
  </w:style>
  <w:style w:type="paragraph" w:styleId="Bezproreda">
    <w:name w:val="No Spacing"/>
    <w:link w:val="BezproredaChar"/>
    <w:uiPriority w:val="1"/>
    <w:qFormat/>
    <w:rsid w:val="00822916"/>
  </w:style>
  <w:style w:type="paragraph" w:styleId="Odlomakpopisa">
    <w:name w:val="List Paragraph"/>
    <w:basedOn w:val="Normal"/>
    <w:uiPriority w:val="34"/>
    <w:qFormat/>
    <w:rsid w:val="003E4BF2"/>
    <w:pPr>
      <w:ind w:left="720"/>
      <w:contextualSpacing/>
    </w:pPr>
  </w:style>
  <w:style w:type="paragraph" w:customStyle="1" w:styleId="HeaderandFooter">
    <w:name w:val="Header and Footer"/>
    <w:basedOn w:val="Normal"/>
    <w:qFormat/>
  </w:style>
  <w:style w:type="paragraph" w:styleId="Zaglavlje">
    <w:name w:val="header"/>
    <w:basedOn w:val="Normal"/>
    <w:link w:val="ZaglavljeChar"/>
    <w:uiPriority w:val="99"/>
    <w:unhideWhenUsed/>
    <w:rsid w:val="005A54F6"/>
    <w:pPr>
      <w:tabs>
        <w:tab w:val="center" w:pos="4536"/>
        <w:tab w:val="right" w:pos="9072"/>
      </w:tabs>
      <w:spacing w:after="0" w:line="240" w:lineRule="auto"/>
    </w:pPr>
  </w:style>
  <w:style w:type="paragraph" w:styleId="Podnoje">
    <w:name w:val="footer"/>
    <w:basedOn w:val="Normal"/>
    <w:link w:val="PodnojeChar"/>
    <w:uiPriority w:val="99"/>
    <w:unhideWhenUsed/>
    <w:rsid w:val="005A54F6"/>
    <w:pPr>
      <w:tabs>
        <w:tab w:val="center" w:pos="4536"/>
        <w:tab w:val="right" w:pos="9072"/>
      </w:tabs>
      <w:spacing w:after="0" w:line="240" w:lineRule="auto"/>
    </w:pPr>
  </w:style>
  <w:style w:type="paragraph" w:styleId="StandardWeb">
    <w:name w:val="Normal (Web)"/>
    <w:basedOn w:val="Normal"/>
    <w:uiPriority w:val="99"/>
    <w:semiHidden/>
    <w:unhideWhenUsed/>
    <w:qFormat/>
    <w:rsid w:val="007B0155"/>
    <w:pPr>
      <w:spacing w:beforeAutospacing="1"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6D775E"/>
    <w:pPr>
      <w:spacing w:after="0" w:line="240" w:lineRule="auto"/>
    </w:pPr>
    <w:rPr>
      <w:rFonts w:ascii="Segoe UI" w:hAnsi="Segoe UI" w:cs="Segoe UI"/>
      <w:sz w:val="18"/>
      <w:szCs w:val="18"/>
    </w:rPr>
  </w:style>
  <w:style w:type="table" w:styleId="Reetkatablice">
    <w:name w:val="Table Grid"/>
    <w:basedOn w:val="Obinatablica"/>
    <w:uiPriority w:val="39"/>
    <w:rsid w:val="00FC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EDD13-9C8B-4391-BBEC-46654DB6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12</Pages>
  <Words>4272</Words>
  <Characters>24357</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DZZ1</cp:lastModifiedBy>
  <cp:revision>2190</cp:revision>
  <cp:lastPrinted>2025-01-29T10:09:00Z</cp:lastPrinted>
  <dcterms:created xsi:type="dcterms:W3CDTF">2023-01-24T08:39:00Z</dcterms:created>
  <dcterms:modified xsi:type="dcterms:W3CDTF">2025-01-29T13:10:00Z</dcterms:modified>
  <dc:language>en-US</dc:language>
</cp:coreProperties>
</file>